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C" w:rsidRPr="004F1FAC" w:rsidRDefault="004F1FAC" w:rsidP="004F1FAC">
      <w:pPr>
        <w:spacing w:line="240" w:lineRule="auto"/>
        <w:rPr>
          <w:b/>
          <w:sz w:val="28"/>
          <w:szCs w:val="28"/>
        </w:rPr>
      </w:pPr>
      <w:r w:rsidRPr="004F1FAC">
        <w:rPr>
          <w:b/>
          <w:sz w:val="28"/>
          <w:szCs w:val="28"/>
        </w:rPr>
        <w:t>Uvod u latinsku filologiju - 2.kolokvij</w:t>
      </w:r>
    </w:p>
    <w:p w:rsidR="003E1A2B" w:rsidRDefault="004F1FAC" w:rsidP="004F1FAC">
      <w:pPr>
        <w:spacing w:line="240" w:lineRule="auto"/>
        <w:rPr>
          <w:sz w:val="28"/>
          <w:szCs w:val="28"/>
        </w:rPr>
      </w:pPr>
      <w:r w:rsidRPr="004F1FAC">
        <w:rPr>
          <w:sz w:val="28"/>
          <w:szCs w:val="28"/>
        </w:rPr>
        <w:t>TEMA 8</w:t>
      </w:r>
      <w:r w:rsidR="003E1A2B">
        <w:rPr>
          <w:sz w:val="28"/>
          <w:szCs w:val="28"/>
        </w:rPr>
        <w:t xml:space="preserve"> </w:t>
      </w:r>
    </w:p>
    <w:p w:rsidR="004F1FAC" w:rsidRDefault="00644838" w:rsidP="004F1F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Lirika (ljubavne pjes</w:t>
      </w:r>
      <w:r w:rsidR="003E1A2B">
        <w:rPr>
          <w:sz w:val="28"/>
          <w:szCs w:val="28"/>
        </w:rPr>
        <w:t>me)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>Horati Ars poetica (Epistula ad Pisones, II)</w:t>
      </w:r>
    </w:p>
    <w:p w:rsidR="00644838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> 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 xml:space="preserve"> Ili koristiti pjesnici žele </w:t>
      </w: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il</w:t>
      </w:r>
      <w:proofErr w:type="gramEnd"/>
      <w:r w:rsidRPr="004F1FAC">
        <w:rPr>
          <w:rFonts w:eastAsia="Times New Roman" w:cstheme="minorHAnsi"/>
          <w:color w:val="333333"/>
          <w:sz w:val="20"/>
          <w:szCs w:val="20"/>
        </w:rPr>
        <w:t xml:space="preserve"> naslađivat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Ili spojit što je u žiću ugodna, s dobrim.</w:t>
      </w:r>
      <w:proofErr w:type="gramEnd"/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>Pisao ti ma što, bud' kratak, učljivi duh da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Hitro razumije riječ i pamet vjerna je drži.</w:t>
      </w:r>
      <w:proofErr w:type="gramEnd"/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Čega je preveć, sve to iz prepunih grudi poteče.</w:t>
      </w:r>
      <w:proofErr w:type="gramEnd"/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>Smišljeno zabave radi neka je istini slično...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 xml:space="preserve">Sve je dobio glase, </w:t>
      </w: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tko</w:t>
      </w:r>
      <w:proofErr w:type="gramEnd"/>
      <w:r w:rsidRPr="004F1FAC">
        <w:rPr>
          <w:rFonts w:eastAsia="Times New Roman" w:cstheme="minorHAnsi"/>
          <w:color w:val="333333"/>
          <w:sz w:val="20"/>
          <w:szCs w:val="20"/>
        </w:rPr>
        <w:t xml:space="preserve"> s ugodnim korisno složi,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Zabavom čitaocu i poukom zajedno služeć.</w:t>
      </w:r>
      <w:proofErr w:type="gramEnd"/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 xml:space="preserve">Takva </w:t>
      </w: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će</w:t>
      </w:r>
      <w:proofErr w:type="gramEnd"/>
      <w:r w:rsidRPr="004F1FAC">
        <w:rPr>
          <w:rFonts w:eastAsia="Times New Roman" w:cstheme="minorHAnsi"/>
          <w:color w:val="333333"/>
          <w:sz w:val="20"/>
          <w:szCs w:val="20"/>
        </w:rPr>
        <w:t xml:space="preserve"> knjiga Sozijcem don'jet novaca, pr'jeć će</w:t>
      </w:r>
    </w:p>
    <w:p w:rsidR="004F1FAC" w:rsidRPr="004F1FAC" w:rsidRDefault="004F1FAC" w:rsidP="004F1FA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 w:rsidRPr="004F1FAC">
        <w:rPr>
          <w:rFonts w:eastAsia="Times New Roman" w:cstheme="minorHAnsi"/>
          <w:color w:val="333333"/>
          <w:sz w:val="20"/>
          <w:szCs w:val="20"/>
        </w:rPr>
        <w:t xml:space="preserve">More i piscu slavnom dug </w:t>
      </w:r>
      <w:proofErr w:type="gramStart"/>
      <w:r w:rsidRPr="004F1FAC">
        <w:rPr>
          <w:rFonts w:eastAsia="Times New Roman" w:cstheme="minorHAnsi"/>
          <w:color w:val="333333"/>
          <w:sz w:val="20"/>
          <w:szCs w:val="20"/>
        </w:rPr>
        <w:t>će</w:t>
      </w:r>
      <w:proofErr w:type="gramEnd"/>
      <w:r w:rsidRPr="004F1FAC">
        <w:rPr>
          <w:rFonts w:eastAsia="Times New Roman" w:cstheme="minorHAnsi"/>
          <w:color w:val="333333"/>
          <w:sz w:val="20"/>
          <w:szCs w:val="20"/>
        </w:rPr>
        <w:t xml:space="preserve"> stvoriti vijek.</w:t>
      </w:r>
    </w:p>
    <w:p w:rsidR="004F1FAC" w:rsidRDefault="004F1FAC" w:rsidP="004F1FAC">
      <w:pPr>
        <w:spacing w:line="240" w:lineRule="auto"/>
        <w:rPr>
          <w:sz w:val="28"/>
          <w:szCs w:val="28"/>
        </w:rPr>
      </w:pP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1.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Retorika</w:t>
      </w:r>
      <w:r w:rsidRPr="003E1A2B">
        <w:rPr>
          <w:rFonts w:eastAsia="Times New Roman" w:cstheme="minorHAnsi"/>
          <w:color w:val="333333"/>
          <w:sz w:val="24"/>
          <w:szCs w:val="24"/>
        </w:rPr>
        <w:t> – vještina lijepog i uvjerljivog iskazivanja govorom</w:t>
      </w:r>
    </w:p>
    <w:p w:rsidR="003E1A2B" w:rsidRPr="003E1A2B" w:rsidRDefault="003E1A2B" w:rsidP="003E1A2B">
      <w:pPr>
        <w:shd w:val="clear" w:color="auto" w:fill="FFFFFF"/>
        <w:spacing w:after="150" w:line="240" w:lineRule="auto"/>
        <w:ind w:left="720" w:hanging="360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- 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znanstvena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disciplina koja proučava najefikasnije načine građenja govora i upotrebe govorničke vještine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2.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Dva osnovna stila antičke retorike</w:t>
      </w:r>
      <w:r w:rsidRPr="003E1A2B">
        <w:rPr>
          <w:rFonts w:eastAsia="Times New Roman" w:cstheme="minorHAnsi"/>
          <w:color w:val="333333"/>
          <w:sz w:val="24"/>
          <w:szCs w:val="24"/>
        </w:rPr>
        <w:t>: 1. azijski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Asiaticum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) – bogat stilskim efektima i s mnoštvom govorničkih ukrasa; 2.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atički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Atticum</w:t>
      </w:r>
      <w:r w:rsidRPr="003E1A2B">
        <w:rPr>
          <w:rFonts w:eastAsia="Times New Roman" w:cstheme="minorHAnsi"/>
          <w:color w:val="333333"/>
          <w:sz w:val="24"/>
          <w:szCs w:val="24"/>
        </w:rPr>
        <w:t>) – jednostavan i s težnjom da govor slijedi strogu logičku strukturu misli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3.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Tri vrste govora prema namjeni</w:t>
      </w:r>
      <w:r w:rsidRPr="003E1A2B">
        <w:rPr>
          <w:rFonts w:eastAsia="Times New Roman" w:cstheme="minorHAnsi"/>
          <w:color w:val="333333"/>
          <w:sz w:val="24"/>
          <w:szCs w:val="24"/>
        </w:rPr>
        <w:t>: 1. sudski govori u parnicama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iudiciale</w:t>
      </w:r>
      <w:r w:rsidRPr="003E1A2B">
        <w:rPr>
          <w:rFonts w:eastAsia="Times New Roman" w:cstheme="minorHAnsi"/>
          <w:color w:val="333333"/>
          <w:sz w:val="24"/>
          <w:szCs w:val="24"/>
        </w:rPr>
        <w:t>); državni govori u političkom životu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deliberativum</w:t>
      </w:r>
      <w:r w:rsidRPr="003E1A2B">
        <w:rPr>
          <w:rFonts w:eastAsia="Times New Roman" w:cstheme="minorHAnsi"/>
          <w:color w:val="333333"/>
          <w:sz w:val="24"/>
          <w:szCs w:val="24"/>
        </w:rPr>
        <w:t>) i svečani govori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demonstrativum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4.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 xml:space="preserve">Dijelovi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dobro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 xml:space="preserve"> sastavljena govora</w:t>
      </w:r>
      <w:r w:rsidRPr="003E1A2B">
        <w:rPr>
          <w:rFonts w:eastAsia="Times New Roman" w:cstheme="minorHAnsi"/>
          <w:color w:val="333333"/>
          <w:sz w:val="24"/>
          <w:szCs w:val="24"/>
        </w:rPr>
        <w:t>: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a)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uvod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exordium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b)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razlaganje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narratio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c)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dokazivanje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argumentatio</w:t>
      </w:r>
      <w:r w:rsidRPr="003E1A2B">
        <w:rPr>
          <w:rFonts w:eastAsia="Times New Roman" w:cstheme="minorHAnsi"/>
          <w:color w:val="333333"/>
          <w:sz w:val="24"/>
          <w:szCs w:val="24"/>
        </w:rPr>
        <w:t>) – pozitivno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probatio</w:t>
      </w:r>
      <w:r w:rsidRPr="003E1A2B">
        <w:rPr>
          <w:rFonts w:eastAsia="Times New Roman" w:cstheme="minorHAnsi"/>
          <w:color w:val="333333"/>
          <w:sz w:val="24"/>
          <w:szCs w:val="24"/>
        </w:rPr>
        <w:t>) ili sadržava u sebi pobijanje protivnikovih dokaza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confutatio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d)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zaključak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peroratio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5.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Postupci u sastavljanju govora</w:t>
      </w:r>
      <w:r w:rsidRPr="003E1A2B">
        <w:rPr>
          <w:rFonts w:eastAsia="Times New Roman" w:cstheme="minorHAnsi"/>
          <w:color w:val="333333"/>
          <w:sz w:val="24"/>
          <w:szCs w:val="24"/>
        </w:rPr>
        <w:t>: pronalaženje građe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inventio</w:t>
      </w:r>
      <w:r w:rsidRPr="003E1A2B">
        <w:rPr>
          <w:rFonts w:eastAsia="Times New Roman" w:cstheme="minorHAnsi"/>
          <w:color w:val="333333"/>
          <w:sz w:val="24"/>
          <w:szCs w:val="24"/>
        </w:rPr>
        <w:t>), pravilan raspored građe u govoru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dispositio</w:t>
      </w:r>
      <w:r w:rsidRPr="003E1A2B">
        <w:rPr>
          <w:rFonts w:eastAsia="Times New Roman" w:cstheme="minorHAnsi"/>
          <w:color w:val="333333"/>
          <w:sz w:val="24"/>
          <w:szCs w:val="24"/>
        </w:rPr>
        <w:t>), jezično oblikovanje govora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elocutio</w:t>
      </w:r>
      <w:r w:rsidRPr="003E1A2B">
        <w:rPr>
          <w:rFonts w:eastAsia="Times New Roman" w:cstheme="minorHAnsi"/>
          <w:color w:val="333333"/>
          <w:sz w:val="24"/>
          <w:szCs w:val="24"/>
        </w:rPr>
        <w:t>), pamćenje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memoria</w:t>
      </w:r>
      <w:r w:rsidRPr="003E1A2B">
        <w:rPr>
          <w:rFonts w:eastAsia="Times New Roman" w:cstheme="minorHAnsi"/>
          <w:color w:val="333333"/>
          <w:sz w:val="24"/>
          <w:szCs w:val="24"/>
        </w:rPr>
        <w:t>) i samo izgovaranje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actio</w:t>
      </w:r>
      <w:r w:rsidRPr="003E1A2B">
        <w:rPr>
          <w:rFonts w:eastAsia="Times New Roman" w:cstheme="minorHAnsi"/>
          <w:color w:val="333333"/>
          <w:sz w:val="24"/>
          <w:szCs w:val="24"/>
        </w:rPr>
        <w:t> ili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pronuntiatio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). U oblikovanju govora potrebno je obratiti pažnju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čistoću jezika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puritas</w:t>
      </w:r>
      <w:r w:rsidRPr="003E1A2B">
        <w:rPr>
          <w:rFonts w:eastAsia="Times New Roman" w:cstheme="minorHAnsi"/>
          <w:color w:val="333333"/>
          <w:sz w:val="24"/>
          <w:szCs w:val="24"/>
        </w:rPr>
        <w:t>), njegovu jasnoću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perspicuitas</w:t>
      </w:r>
      <w:r w:rsidRPr="003E1A2B">
        <w:rPr>
          <w:rFonts w:eastAsia="Times New Roman" w:cstheme="minorHAnsi"/>
          <w:color w:val="333333"/>
          <w:sz w:val="24"/>
          <w:szCs w:val="24"/>
        </w:rPr>
        <w:t>), primjerenost temi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aptum</w:t>
      </w:r>
      <w:r w:rsidRPr="003E1A2B">
        <w:rPr>
          <w:rFonts w:eastAsia="Times New Roman" w:cstheme="minorHAnsi"/>
          <w:color w:val="333333"/>
          <w:sz w:val="24"/>
          <w:szCs w:val="24"/>
        </w:rPr>
        <w:t>), govorničke ukrase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ornatus</w:t>
      </w:r>
      <w:r w:rsidRPr="003E1A2B">
        <w:rPr>
          <w:rFonts w:eastAsia="Times New Roman" w:cstheme="minorHAnsi"/>
          <w:color w:val="333333"/>
          <w:sz w:val="24"/>
          <w:szCs w:val="24"/>
        </w:rPr>
        <w:t>) i kratkoću izlaganja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brevitas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lastRenderedPageBreak/>
        <w:t>6.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 Drevno Katonovo načelo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Rem tene, verba sequentur </w:t>
      </w:r>
      <w:r w:rsidRPr="003E1A2B">
        <w:rPr>
          <w:rFonts w:eastAsia="Times New Roman" w:cstheme="minorHAnsi"/>
          <w:color w:val="333333"/>
          <w:sz w:val="24"/>
          <w:szCs w:val="24"/>
        </w:rPr>
        <w:t>napušteno u klasičnom razdoblju govorništva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</w:rPr>
        <w:t>pa se razlikuju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tri načina govorenja</w:t>
      </w:r>
      <w:r w:rsidRPr="003E1A2B">
        <w:rPr>
          <w:rFonts w:eastAsia="Times New Roman" w:cstheme="minorHAnsi"/>
          <w:color w:val="333333"/>
          <w:sz w:val="24"/>
          <w:szCs w:val="24"/>
        </w:rPr>
        <w:t>: uzvišeni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sublime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), srednji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ili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miješani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medium</w:t>
      </w:r>
      <w:r w:rsidRPr="003E1A2B">
        <w:rPr>
          <w:rFonts w:eastAsia="Times New Roman" w:cstheme="minorHAnsi"/>
          <w:color w:val="333333"/>
          <w:sz w:val="24"/>
          <w:szCs w:val="24"/>
        </w:rPr>
        <w:t> ili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mixtum</w:t>
      </w:r>
      <w:r w:rsidRPr="003E1A2B">
        <w:rPr>
          <w:rFonts w:eastAsia="Times New Roman" w:cstheme="minorHAnsi"/>
          <w:color w:val="333333"/>
          <w:sz w:val="24"/>
          <w:szCs w:val="24"/>
        </w:rPr>
        <w:t>) i niski ili obični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genus subtile</w:t>
      </w:r>
      <w:r w:rsidRPr="003E1A2B">
        <w:rPr>
          <w:rFonts w:eastAsia="Times New Roman" w:cstheme="minorHAnsi"/>
          <w:color w:val="333333"/>
          <w:sz w:val="24"/>
          <w:szCs w:val="24"/>
        </w:rPr>
        <w:t>).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7.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Retorički i stilski ukrasi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– različita jezična sredstva koja služe za isticanje pojedinih misli i za izazivanje pažnje slušalaca i čitalaca – dijele se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trope i figure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Tropi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- pojedine riječi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ili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izrazi u kojima dolazi do neke promjene u njihovu sadržaju u odnosu prema uobičajenoj upotrebi u svakodnevnom govoru (metafora, hiperbola, sinegdoha, litota)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  <w:u w:val="single"/>
        </w:rPr>
        <w:t>Figure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– čitave konstrukcije koje odstupaju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od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običnih jezičnih pojava (gradacija, anafora, epifora, itd.)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8.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  <w:r w:rsidRPr="003E1A2B">
        <w:rPr>
          <w:rFonts w:eastAsia="Times New Roman" w:cstheme="minorHAnsi"/>
          <w:b/>
          <w:color w:val="333333"/>
          <w:sz w:val="24"/>
          <w:szCs w:val="24"/>
          <w:u w:val="single"/>
        </w:rPr>
        <w:t>Marko Tulije </w:t>
      </w:r>
      <w:hyperlink r:id="rId5" w:tooltip="Ciceron" w:history="1">
        <w:r w:rsidRPr="003E1A2B">
          <w:rPr>
            <w:rFonts w:eastAsia="Times New Roman" w:cstheme="minorHAnsi"/>
            <w:b/>
            <w:color w:val="4280A5"/>
            <w:sz w:val="24"/>
            <w:szCs w:val="24"/>
          </w:rPr>
          <w:t>Ciceron</w:t>
        </w:r>
      </w:hyperlink>
      <w:r w:rsidRPr="003E1A2B">
        <w:rPr>
          <w:rFonts w:eastAsia="Times New Roman" w:cstheme="minorHAnsi"/>
          <w:color w:val="333333"/>
          <w:sz w:val="24"/>
          <w:szCs w:val="24"/>
        </w:rPr>
        <w:t> (106.-43. pr. Kr.) –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De oratore </w:t>
      </w:r>
      <w:r w:rsidRPr="003E1A2B">
        <w:rPr>
          <w:rFonts w:eastAsia="Times New Roman" w:cstheme="minorHAnsi"/>
          <w:color w:val="333333"/>
          <w:sz w:val="24"/>
          <w:szCs w:val="24"/>
        </w:rPr>
        <w:t>- didaktička rasprava u tri knjige, dijaloška forma, tema dobar govornik;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Orator 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- o svojstvima idealnog govornika (mora biti majstor u sva tri stila, mora podjednako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dobro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vladati i tehničkom stranom govora (ad. 5.);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De optimo genere oratorum</w:t>
      </w:r>
      <w:r w:rsidRPr="003E1A2B">
        <w:rPr>
          <w:rFonts w:eastAsia="Times New Roman" w:cstheme="minorHAnsi"/>
          <w:color w:val="333333"/>
          <w:sz w:val="24"/>
          <w:szCs w:val="24"/>
        </w:rPr>
        <w:t> – najbolji govornik je onaj koji poučava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docere</w:t>
      </w:r>
      <w:r w:rsidRPr="003E1A2B">
        <w:rPr>
          <w:rFonts w:eastAsia="Times New Roman" w:cstheme="minorHAnsi"/>
          <w:color w:val="333333"/>
          <w:sz w:val="24"/>
          <w:szCs w:val="24"/>
        </w:rPr>
        <w:t>), pruža zadovoljstvo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delectare</w:t>
      </w:r>
      <w:r w:rsidRPr="003E1A2B">
        <w:rPr>
          <w:rFonts w:eastAsia="Times New Roman" w:cstheme="minorHAnsi"/>
          <w:color w:val="333333"/>
          <w:sz w:val="24"/>
          <w:szCs w:val="24"/>
        </w:rPr>
        <w:t>) i gane slušatelja (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movere</w:t>
      </w:r>
      <w:r w:rsidRPr="003E1A2B">
        <w:rPr>
          <w:rFonts w:eastAsia="Times New Roman" w:cstheme="minorHAnsi"/>
          <w:color w:val="333333"/>
          <w:sz w:val="24"/>
          <w:szCs w:val="24"/>
        </w:rPr>
        <w:t>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9. </w:t>
      </w:r>
      <w:r w:rsidRPr="003E1A2B">
        <w:rPr>
          <w:rFonts w:eastAsia="Times New Roman" w:cstheme="minorHAnsi"/>
          <w:b/>
          <w:color w:val="333333"/>
          <w:sz w:val="24"/>
          <w:szCs w:val="24"/>
          <w:u w:val="single"/>
        </w:rPr>
        <w:t>Marko Fabije Kvintilijan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(35.-95.) –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prvi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službeno plaćeni nastavnik retorike;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Institutio oratoria </w:t>
      </w:r>
      <w:r w:rsidRPr="003E1A2B">
        <w:rPr>
          <w:rFonts w:eastAsia="Times New Roman" w:cstheme="minorHAnsi"/>
          <w:color w:val="333333"/>
          <w:sz w:val="24"/>
          <w:szCs w:val="24"/>
        </w:rPr>
        <w:t>(Obrazovanje govornika) – u 12 knjiga – odgoj i školovanje govornika od rođenja do zrelosti</w:t>
      </w:r>
    </w:p>
    <w:p w:rsidR="003E1A2B" w:rsidRDefault="003E1A2B" w:rsidP="004F1FAC">
      <w:pPr>
        <w:spacing w:line="240" w:lineRule="auto"/>
        <w:rPr>
          <w:sz w:val="28"/>
          <w:szCs w:val="28"/>
        </w:rPr>
      </w:pPr>
    </w:p>
    <w:p w:rsidR="003E1A2B" w:rsidRDefault="003E1A2B" w:rsidP="004F1FAC">
      <w:pPr>
        <w:spacing w:line="240" w:lineRule="auto"/>
        <w:rPr>
          <w:sz w:val="28"/>
          <w:szCs w:val="28"/>
        </w:rPr>
      </w:pPr>
    </w:p>
    <w:p w:rsidR="003E1A2B" w:rsidRDefault="003E1A2B" w:rsidP="004F1FAC">
      <w:pPr>
        <w:spacing w:line="240" w:lineRule="auto"/>
        <w:rPr>
          <w:sz w:val="28"/>
          <w:szCs w:val="28"/>
        </w:rPr>
      </w:pPr>
      <w:r w:rsidRPr="003E1A2B">
        <w:rPr>
          <w:sz w:val="28"/>
          <w:szCs w:val="28"/>
        </w:rPr>
        <w:t>TEMA 9</w:t>
      </w:r>
    </w:p>
    <w:p w:rsidR="003E1A2B" w:rsidRPr="003E1A2B" w:rsidRDefault="003E1A2B" w:rsidP="003E1A2B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Cs/>
          <w:color w:val="333333"/>
          <w:sz w:val="24"/>
          <w:szCs w:val="24"/>
        </w:rPr>
        <w:t>ANTIČKI ROMAN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1.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 Roman – termin posuđen iz novovjekovne znanosti o književnosti da bi se označila skupina proznih antičkih tekstova upadljive fabularne sličnosti (ljubav dvoje mladih – događaj koji to stanje remeti – brojne peripetije – sretan ishod u vidu braka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ili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ponovne veze)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Prije nego što se ustalio naziv »roman« (i postao književno-teorijski termin) pisana su djela u tradiciji romana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Takav prijenos termina uvjetovan je ne samo činjenicom da antička znanost tekstove tih obilježja nije nikako posebno imenovala, nego i time što se antički roman može smatrati i tipološkim i generičkim prethodnikom novovjekovnog romana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Antički roman – tvorevina helenizma;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Autori: Hariton, Ksenofont Efeški, Ahilej Tatije, Longo, Heliodor (grčki); Petronije i Apulej (rimski)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2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. Latinski satirični roman /karaktera/ razvio se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od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grčkog ljubavnog romana (ali uz različitosti)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Fabula: glavna ličnost putuje i doživljava razne (između ostalog i ljubavne avanture),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te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pod krinkom opisa ljudi i ćudi tuđih gradova satirično opisuje karakter svoje sredine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Zajednička crta: avanturistički element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lastRenderedPageBreak/>
        <w:t>3.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 Karakteristike avanturističkog romana: radnja se redovito događa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putu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kompozicija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vrlo slaba – niz doživljaja grupiranih oko jedne osobe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pisan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je za i čitaju ga ljudi nižih socijalnih slojeva (»niski« žanr – ono što danas zovemo šund- literaturom)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jezik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romana odgovara sadržaju – blizak narodnom govornom jeziku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color w:val="333333"/>
          <w:sz w:val="24"/>
          <w:szCs w:val="24"/>
        </w:rPr>
        <w:t>4</w:t>
      </w:r>
      <w:r w:rsidRPr="003E1A2B">
        <w:rPr>
          <w:rFonts w:eastAsia="Times New Roman" w:cstheme="minorHAnsi"/>
          <w:color w:val="333333"/>
          <w:sz w:val="24"/>
          <w:szCs w:val="24"/>
        </w:rPr>
        <w:t>. Predstavnici: </w:t>
      </w:r>
      <w:r w:rsidRPr="003E1A2B">
        <w:rPr>
          <w:rFonts w:eastAsia="Times New Roman" w:cstheme="minorHAnsi"/>
          <w:b/>
          <w:bCs/>
          <w:color w:val="333333"/>
          <w:sz w:val="24"/>
          <w:szCs w:val="24"/>
        </w:rPr>
        <w:t>Apulej, Lucije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– 2.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st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>. iz Madaura u Numidiji (danas Alžir); studirao u Kartagi i Ateni, znao latinski i grčki; većinu vremena proveo u Africi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najglasovitije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djelo: </w:t>
      </w:r>
      <w:r w:rsidRPr="003E1A2B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Metamorphoses</w:t>
      </w:r>
      <w:r w:rsidRPr="003E1A2B">
        <w:rPr>
          <w:rFonts w:eastAsia="Times New Roman" w:cstheme="minorHAnsi"/>
          <w:b/>
          <w:bCs/>
          <w:color w:val="333333"/>
          <w:sz w:val="24"/>
          <w:szCs w:val="24"/>
        </w:rPr>
        <w:t> ili </w:t>
      </w:r>
      <w:r w:rsidRPr="003E1A2B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Asinus aureus</w:t>
      </w:r>
      <w:r w:rsidRPr="003E1A2B">
        <w:rPr>
          <w:rFonts w:eastAsia="Times New Roman" w:cstheme="minorHAnsi"/>
          <w:b/>
          <w:bCs/>
          <w:color w:val="333333"/>
          <w:sz w:val="24"/>
          <w:szCs w:val="24"/>
        </w:rPr>
        <w:t> (Pretvorbe ili Zlatni magarac)</w:t>
      </w:r>
      <w:r w:rsidRPr="003E1A2B">
        <w:rPr>
          <w:rFonts w:eastAsia="Times New Roman" w:cstheme="minorHAnsi"/>
          <w:color w:val="333333"/>
          <w:sz w:val="24"/>
          <w:szCs w:val="24"/>
        </w:rPr>
        <w:t> – roman (11 knjiga) o čovjeku pretvorenom u magarca i njegovim doživljajima, na osnovi grčkih predložaka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niz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samostalnih novela (najpoznatija o Amoru i Psihi) povezanih osnovnim tokom radnje u cjelinu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pisan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u 1.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licu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(Lucije, Grk iz Korinta – iskušava djelovanje čarolija, ali umjesto u pticu pretvara se u magarca te doživljava mnogobrojne peripetije)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jezik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>: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Africitas</w:t>
      </w:r>
      <w:r w:rsidRPr="003E1A2B">
        <w:rPr>
          <w:rFonts w:eastAsia="Times New Roman" w:cstheme="minorHAnsi"/>
          <w:color w:val="333333"/>
          <w:sz w:val="24"/>
          <w:szCs w:val="24"/>
        </w:rPr>
        <w:t>,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tumor Africus</w:t>
      </w:r>
      <w:r w:rsidRPr="003E1A2B">
        <w:rPr>
          <w:rFonts w:eastAsia="Times New Roman" w:cstheme="minorHAnsi"/>
          <w:color w:val="333333"/>
          <w:sz w:val="24"/>
          <w:szCs w:val="24"/>
        </w:rPr>
        <w:t> 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motiv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>: pretvorba u magarca s ljudskom moći razumijevanja (na taj način, kao životinja, vidi svašta, jer nitko na njega ne obraća pažnju)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>- motiv »nevidljivosti« pogodan za izvor zapleta i satiru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ostale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karakteristike: autobiografske crte, mistična simbolika, alegoričnost događaja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b/>
          <w:bCs/>
          <w:color w:val="333333"/>
          <w:sz w:val="24"/>
          <w:szCs w:val="24"/>
        </w:rPr>
        <w:t>Petronije Arbiter, Gaj </w:t>
      </w:r>
      <w:r w:rsidRPr="003E1A2B">
        <w:rPr>
          <w:rFonts w:eastAsia="Times New Roman" w:cstheme="minorHAnsi"/>
          <w:color w:val="333333"/>
          <w:sz w:val="24"/>
          <w:szCs w:val="24"/>
        </w:rPr>
        <w:t>– 1. st. –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arbiter elegantiae</w:t>
      </w:r>
      <w:r w:rsidRPr="003E1A2B">
        <w:rPr>
          <w:rFonts w:eastAsia="Times New Roman" w:cstheme="minorHAnsi"/>
          <w:color w:val="333333"/>
          <w:sz w:val="24"/>
          <w:szCs w:val="24"/>
        </w:rPr>
        <w:t xml:space="preserve"> (sudac ukusa)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na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Neronovu dvoru; upleten u Pizonovu urotu protiv cara, prisiljen na samoubojstvo (66. n.e.)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roman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(16 knjiga) –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Saturae</w:t>
      </w:r>
      <w:r w:rsidRPr="003E1A2B">
        <w:rPr>
          <w:rFonts w:eastAsia="Times New Roman" w:cstheme="minorHAnsi"/>
          <w:color w:val="333333"/>
          <w:sz w:val="24"/>
          <w:szCs w:val="24"/>
        </w:rPr>
        <w:t> ili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Satiricon</w:t>
      </w:r>
      <w:r w:rsidRPr="003E1A2B">
        <w:rPr>
          <w:rFonts w:eastAsia="Times New Roman" w:cstheme="minorHAnsi"/>
          <w:color w:val="333333"/>
          <w:sz w:val="24"/>
          <w:szCs w:val="24"/>
        </w:rPr>
        <w:t> – u stilu menipske satire – mješavina proze i stiha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zgode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Enkolpija koji luta po italskim gradovima u kojima doživljava razne pustolovine</w:t>
      </w:r>
    </w:p>
    <w:p w:rsidR="003E1A2B" w:rsidRPr="003E1A2B" w:rsidRDefault="003E1A2B" w:rsidP="003E1A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3E1A2B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gramStart"/>
      <w:r w:rsidRPr="003E1A2B">
        <w:rPr>
          <w:rFonts w:eastAsia="Times New Roman" w:cstheme="minorHAnsi"/>
          <w:color w:val="333333"/>
          <w:sz w:val="24"/>
          <w:szCs w:val="24"/>
        </w:rPr>
        <w:t>roman</w:t>
      </w:r>
      <w:proofErr w:type="gramEnd"/>
      <w:r w:rsidRPr="003E1A2B">
        <w:rPr>
          <w:rFonts w:eastAsia="Times New Roman" w:cstheme="minorHAnsi"/>
          <w:color w:val="333333"/>
          <w:sz w:val="24"/>
          <w:szCs w:val="24"/>
        </w:rPr>
        <w:t xml:space="preserve"> je sačuvan fragmentarno (najveći odlomak </w:t>
      </w:r>
      <w:r w:rsidRPr="003E1A2B">
        <w:rPr>
          <w:rFonts w:eastAsia="Times New Roman" w:cstheme="minorHAnsi"/>
          <w:i/>
          <w:iCs/>
          <w:color w:val="333333"/>
          <w:sz w:val="24"/>
          <w:szCs w:val="24"/>
        </w:rPr>
        <w:t>Cena Trimalchionis</w:t>
      </w:r>
      <w:r w:rsidRPr="003E1A2B">
        <w:rPr>
          <w:rFonts w:eastAsia="Times New Roman" w:cstheme="minorHAnsi"/>
          <w:color w:val="333333"/>
          <w:sz w:val="24"/>
          <w:szCs w:val="24"/>
        </w:rPr>
        <w:t> – Trimalhionova gozba – 1650. pronađen u Trogiru u kući Marina Statilića, a objavljen zaslugom humanista Ivana Lučića u Padovi)</w:t>
      </w:r>
    </w:p>
    <w:p w:rsidR="003E1A2B" w:rsidRPr="003E1A2B" w:rsidRDefault="003E1A2B" w:rsidP="00644838">
      <w:pPr>
        <w:spacing w:line="240" w:lineRule="auto"/>
        <w:rPr>
          <w:rFonts w:cstheme="minorHAnsi"/>
          <w:sz w:val="24"/>
          <w:szCs w:val="24"/>
        </w:rPr>
      </w:pPr>
    </w:p>
    <w:p w:rsidR="00644838" w:rsidRDefault="003E1A2B" w:rsidP="00644838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i/>
          <w:color w:val="333333"/>
          <w:sz w:val="24"/>
          <w:szCs w:val="24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>-</w:t>
      </w:r>
      <w:r w:rsidRPr="003E1A2B">
        <w:rPr>
          <w:rFonts w:asciiTheme="minorHAnsi" w:hAnsiTheme="minorHAnsi" w:cstheme="minorHAnsi"/>
          <w:b w:val="0"/>
          <w:bCs w:val="0"/>
          <w:i/>
          <w:color w:val="333333"/>
          <w:sz w:val="24"/>
          <w:szCs w:val="24"/>
        </w:rPr>
        <w:t>Petronije, Satirikon</w:t>
      </w:r>
    </w:p>
    <w:p w:rsidR="003E1A2B" w:rsidRPr="00644838" w:rsidRDefault="003E1A2B" w:rsidP="00644838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i/>
          <w:color w:val="333333"/>
          <w:sz w:val="24"/>
          <w:szCs w:val="24"/>
        </w:rPr>
      </w:pPr>
      <w:r w:rsidRPr="003E1A2B">
        <w:rPr>
          <w:rFonts w:asciiTheme="minorHAnsi" w:hAnsiTheme="minorHAnsi" w:cstheme="minorHAnsi"/>
          <w:b w:val="0"/>
          <w:bCs w:val="0"/>
          <w:i/>
          <w:color w:val="333333"/>
          <w:sz w:val="24"/>
          <w:szCs w:val="24"/>
        </w:rPr>
        <w:t>-Zodiacus</w:t>
      </w:r>
      <w:r w:rsidR="008E17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E1A2B" w:rsidRDefault="003E1A2B" w:rsidP="00644838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  <w:r w:rsidRPr="003E1A2B">
        <w:rPr>
          <w:rFonts w:asciiTheme="minorHAnsi" w:hAnsiTheme="minorHAnsi" w:cstheme="minorHAnsi"/>
          <w:b w:val="0"/>
          <w:i/>
          <w:sz w:val="24"/>
          <w:szCs w:val="24"/>
        </w:rPr>
        <w:t>-Pinocchio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(pretvara se u magarca)</w:t>
      </w:r>
    </w:p>
    <w:p w:rsidR="003E1A2B" w:rsidRDefault="003E1A2B" w:rsidP="00644838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644838" w:rsidRDefault="00644838" w:rsidP="003E1A2B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8"/>
          <w:szCs w:val="28"/>
        </w:rPr>
      </w:pPr>
    </w:p>
    <w:p w:rsidR="00644838" w:rsidRDefault="00644838" w:rsidP="003E1A2B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8"/>
          <w:szCs w:val="28"/>
        </w:rPr>
      </w:pPr>
    </w:p>
    <w:p w:rsidR="00644838" w:rsidRDefault="00644838" w:rsidP="003E1A2B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sz w:val="28"/>
          <w:szCs w:val="28"/>
        </w:rPr>
      </w:pPr>
    </w:p>
    <w:p w:rsidR="00114846" w:rsidRPr="00114846" w:rsidRDefault="00114846" w:rsidP="003E1A2B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114846">
        <w:rPr>
          <w:rFonts w:asciiTheme="minorHAnsi" w:hAnsiTheme="minorHAnsi" w:cstheme="minorHAnsi"/>
          <w:b w:val="0"/>
          <w:sz w:val="28"/>
          <w:szCs w:val="28"/>
        </w:rPr>
        <w:lastRenderedPageBreak/>
        <w:t>TEMA 10</w:t>
      </w:r>
      <w:r w:rsidR="00644838">
        <w:rPr>
          <w:rFonts w:asciiTheme="minorHAnsi" w:hAnsiTheme="minorHAnsi" w:cstheme="minorHAnsi"/>
          <w:b w:val="0"/>
          <w:sz w:val="28"/>
          <w:szCs w:val="28"/>
        </w:rPr>
        <w:t xml:space="preserve"> (Cicero)</w:t>
      </w:r>
    </w:p>
    <w:p w:rsidR="00114846" w:rsidRPr="00644838" w:rsidRDefault="00114846" w:rsidP="00644838">
      <w:pPr>
        <w:pStyle w:val="Heading2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cstheme="minorHAnsi"/>
          <w:i/>
          <w:sz w:val="24"/>
          <w:szCs w:val="24"/>
        </w:rPr>
        <w:t>-</w:t>
      </w:r>
      <w:r w:rsidRPr="00114846">
        <w:rPr>
          <w:rFonts w:cstheme="minorHAnsi"/>
          <w:i/>
          <w:sz w:val="24"/>
          <w:szCs w:val="24"/>
        </w:rPr>
        <w:t>Govor Vlade Gotovca</w:t>
      </w:r>
    </w:p>
    <w:p w:rsidR="00557085" w:rsidRDefault="00557085" w:rsidP="003E1A2B">
      <w:pPr>
        <w:spacing w:line="240" w:lineRule="auto"/>
        <w:rPr>
          <w:rFonts w:cstheme="minorHAnsi"/>
          <w:sz w:val="20"/>
          <w:szCs w:val="20"/>
        </w:rPr>
      </w:pPr>
    </w:p>
    <w:p w:rsidR="00AA1157" w:rsidRDefault="00AA1157" w:rsidP="003E1A2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 11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  <w:lang w:val="hr-HR"/>
        </w:rPr>
        <w:t>Lukijan (120.-180. po Kr.) – Kako treba pisati povijest?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jc w:val="both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  <w:lang w:val="hr-HR"/>
        </w:rPr>
        <w:t>Evo dakle kakav bi prema mome mišljenju trebao biti povjesničar: neustrašiv, nepodmitljiv, slobodan, prijatelj istine i otvorene riječi, čovjek koji kaže kruh kruhu, a vino vinu, čovjek koji neće nikada radi prijateljstva ili mržnje popustiti ili nijekati, nekoga žaliti ili se stidjeti ili nekoga omalovažavati; on mora biti pravedan sudac, dobrohotan sa svima, nikad spreman popustiti jednoj strani više nego što ona to zaslužuje; čovjek koji kada piše nema domovine, ni grada, ni vladara; čovjek koji se ne pita što će misliti ovaj ili onaj, nego izlaže ono što se dogodilo.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jc w:val="both"/>
        <w:rPr>
          <w:rFonts w:cstheme="minorHAnsi"/>
          <w:b/>
          <w:color w:val="333333"/>
          <w:sz w:val="26"/>
          <w:szCs w:val="26"/>
          <w:lang w:val="hr-HR"/>
        </w:rPr>
      </w:pPr>
      <w:r w:rsidRPr="00AA1157">
        <w:rPr>
          <w:rFonts w:cstheme="minorHAnsi"/>
          <w:color w:val="333333"/>
          <w:sz w:val="24"/>
          <w:szCs w:val="24"/>
        </w:rPr>
        <w:br/>
      </w:r>
      <w:hyperlink r:id="rId6" w:tooltip="Ciceron" w:history="1">
        <w:r w:rsidRPr="00644838">
          <w:rPr>
            <w:rStyle w:val="Hyperlink"/>
            <w:rFonts w:cstheme="minorHAnsi"/>
            <w:b/>
            <w:color w:val="4280A5"/>
            <w:sz w:val="26"/>
            <w:szCs w:val="26"/>
            <w:u w:val="none"/>
            <w:lang w:val="hr-HR"/>
          </w:rPr>
          <w:t>Ciceron</w:t>
        </w:r>
      </w:hyperlink>
      <w:r w:rsidRPr="00644838">
        <w:rPr>
          <w:rStyle w:val="apple-converted-space"/>
          <w:rFonts w:cstheme="minorHAnsi"/>
          <w:b/>
          <w:color w:val="333333"/>
          <w:sz w:val="26"/>
          <w:szCs w:val="26"/>
          <w:lang w:val="hr-HR"/>
        </w:rPr>
        <w:t> </w:t>
      </w:r>
      <w:r w:rsidRPr="00644838">
        <w:rPr>
          <w:rFonts w:cstheme="minorHAnsi"/>
          <w:b/>
          <w:color w:val="333333"/>
          <w:sz w:val="26"/>
          <w:szCs w:val="26"/>
          <w:lang w:val="hr-HR"/>
        </w:rPr>
        <w:t>De oratore</w:t>
      </w:r>
    </w:p>
    <w:p w:rsidR="00644838" w:rsidRPr="00644838" w:rsidRDefault="00644838" w:rsidP="0064483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644838">
        <w:rPr>
          <w:rFonts w:eastAsia="Times New Roman" w:cstheme="minorHAnsi"/>
          <w:bCs/>
          <w:color w:val="333333"/>
          <w:sz w:val="24"/>
          <w:szCs w:val="24"/>
        </w:rPr>
        <w:t xml:space="preserve">Ciceronis </w:t>
      </w:r>
      <w:proofErr w:type="gramStart"/>
      <w:r w:rsidRPr="00644838">
        <w:rPr>
          <w:rFonts w:eastAsia="Times New Roman" w:cstheme="minorHAnsi"/>
          <w:bCs/>
          <w:color w:val="333333"/>
          <w:sz w:val="24"/>
          <w:szCs w:val="24"/>
        </w:rPr>
        <w:t>In</w:t>
      </w:r>
      <w:proofErr w:type="gramEnd"/>
      <w:r w:rsidRPr="00644838">
        <w:rPr>
          <w:rFonts w:eastAsia="Times New Roman" w:cstheme="minorHAnsi"/>
          <w:bCs/>
          <w:color w:val="333333"/>
          <w:sz w:val="24"/>
          <w:szCs w:val="24"/>
        </w:rPr>
        <w:t xml:space="preserve"> Catilinam I</w:t>
      </w:r>
    </w:p>
    <w:p w:rsidR="00644838" w:rsidRPr="00644838" w:rsidRDefault="00644838" w:rsidP="0064483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644838">
        <w:rPr>
          <w:rFonts w:eastAsia="Times New Roman" w:cstheme="minorHAnsi"/>
          <w:bCs/>
          <w:color w:val="333333"/>
          <w:sz w:val="24"/>
          <w:szCs w:val="24"/>
        </w:rPr>
        <w:t>Ciceronis Pro Archia poeta</w:t>
      </w:r>
    </w:p>
    <w:p w:rsidR="00AA1157" w:rsidRPr="00AA1157" w:rsidRDefault="00AA1157" w:rsidP="00AA1157">
      <w:pPr>
        <w:shd w:val="clear" w:color="auto" w:fill="FFFFFF"/>
        <w:spacing w:after="150" w:line="400" w:lineRule="atLeast"/>
        <w:jc w:val="both"/>
        <w:rPr>
          <w:rFonts w:cstheme="minorHAnsi"/>
          <w:color w:val="333333"/>
          <w:sz w:val="24"/>
          <w:szCs w:val="24"/>
        </w:rPr>
      </w:pPr>
      <w:r w:rsidRPr="00AA1157">
        <w:rPr>
          <w:rStyle w:val="Emphasis"/>
          <w:rFonts w:cstheme="minorHAnsi"/>
          <w:color w:val="333333"/>
          <w:sz w:val="24"/>
          <w:szCs w:val="24"/>
        </w:rPr>
        <w:t xml:space="preserve">Historia </w:t>
      </w:r>
      <w:proofErr w:type="gramStart"/>
      <w:r w:rsidRPr="00AA1157">
        <w:rPr>
          <w:rStyle w:val="Emphasis"/>
          <w:rFonts w:cstheme="minorHAnsi"/>
          <w:color w:val="333333"/>
          <w:sz w:val="24"/>
          <w:szCs w:val="24"/>
        </w:rPr>
        <w:t>est</w:t>
      </w:r>
      <w:proofErr w:type="gramEnd"/>
      <w:r w:rsidRPr="00AA1157">
        <w:rPr>
          <w:rStyle w:val="Emphasis"/>
          <w:rFonts w:cstheme="minorHAnsi"/>
          <w:color w:val="333333"/>
          <w:sz w:val="24"/>
          <w:szCs w:val="24"/>
        </w:rPr>
        <w:t xml:space="preserve"> testis temporum</w:t>
      </w:r>
      <w:r w:rsidRPr="00AA1157">
        <w:rPr>
          <w:rStyle w:val="st"/>
          <w:rFonts w:cstheme="minorHAnsi"/>
          <w:color w:val="333333"/>
          <w:sz w:val="24"/>
          <w:szCs w:val="24"/>
        </w:rPr>
        <w:t>,</w:t>
      </w:r>
      <w:r w:rsidRPr="00AA1157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AA1157">
        <w:rPr>
          <w:rStyle w:val="Emphasis"/>
          <w:rFonts w:cstheme="minorHAnsi"/>
          <w:color w:val="333333"/>
          <w:sz w:val="24"/>
          <w:szCs w:val="24"/>
        </w:rPr>
        <w:t>lux veritatis</w:t>
      </w:r>
      <w:r w:rsidRPr="00AA1157">
        <w:rPr>
          <w:rStyle w:val="st"/>
          <w:rFonts w:cstheme="minorHAnsi"/>
          <w:color w:val="333333"/>
          <w:sz w:val="24"/>
          <w:szCs w:val="24"/>
        </w:rPr>
        <w:t>,</w:t>
      </w:r>
      <w:r w:rsidRPr="00AA1157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AA1157">
        <w:rPr>
          <w:rStyle w:val="Emphasis"/>
          <w:rFonts w:cstheme="minorHAnsi"/>
          <w:color w:val="333333"/>
          <w:sz w:val="24"/>
          <w:szCs w:val="24"/>
        </w:rPr>
        <w:t>vita memoriae</w:t>
      </w:r>
      <w:r w:rsidRPr="00AA1157">
        <w:rPr>
          <w:rStyle w:val="st"/>
          <w:rFonts w:cstheme="minorHAnsi"/>
          <w:color w:val="333333"/>
          <w:sz w:val="24"/>
          <w:szCs w:val="24"/>
        </w:rPr>
        <w:t>,</w:t>
      </w:r>
      <w:r w:rsidRPr="00AA1157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AA1157">
        <w:rPr>
          <w:rStyle w:val="Emphasis"/>
          <w:rFonts w:cstheme="minorHAnsi"/>
          <w:color w:val="333333"/>
          <w:sz w:val="24"/>
          <w:szCs w:val="24"/>
        </w:rPr>
        <w:t>magistra vitae</w:t>
      </w:r>
      <w:r w:rsidRPr="00AA1157">
        <w:rPr>
          <w:rStyle w:val="st"/>
          <w:rFonts w:cstheme="minorHAnsi"/>
          <w:color w:val="333333"/>
          <w:sz w:val="24"/>
          <w:szCs w:val="24"/>
        </w:rPr>
        <w:t>,</w:t>
      </w:r>
      <w:r w:rsidRPr="00AA1157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AA1157">
        <w:rPr>
          <w:rStyle w:val="Emphasis"/>
          <w:rFonts w:cstheme="minorHAnsi"/>
          <w:color w:val="333333"/>
          <w:sz w:val="24"/>
          <w:szCs w:val="24"/>
        </w:rPr>
        <w:t>nuntia vetustatis.</w:t>
      </w:r>
    </w:p>
    <w:p w:rsidR="00AA1157" w:rsidRPr="00644838" w:rsidRDefault="00AA1157" w:rsidP="00AA1157">
      <w:pPr>
        <w:pStyle w:val="Heading7"/>
        <w:shd w:val="clear" w:color="auto" w:fill="FFFFFF"/>
        <w:spacing w:before="0" w:after="150"/>
        <w:rPr>
          <w:rFonts w:asciiTheme="minorHAnsi" w:hAnsiTheme="minorHAnsi" w:cstheme="minorHAnsi"/>
          <w:i w:val="0"/>
          <w:color w:val="333333"/>
          <w:sz w:val="24"/>
          <w:szCs w:val="24"/>
        </w:rPr>
      </w:pPr>
      <w:r w:rsidRPr="00AA1157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644838">
        <w:rPr>
          <w:rFonts w:asciiTheme="minorHAnsi" w:hAnsiTheme="minorHAnsi" w:cstheme="minorHAnsi"/>
          <w:i w:val="0"/>
          <w:color w:val="333333"/>
          <w:sz w:val="24"/>
          <w:szCs w:val="24"/>
        </w:rPr>
        <w:t>RIMSKA HISTORIJOGRAFIJA</w:t>
      </w:r>
    </w:p>
    <w:p w:rsidR="00AA1157" w:rsidRPr="00644838" w:rsidRDefault="00AA1157" w:rsidP="00AA1157">
      <w:pPr>
        <w:pStyle w:val="Heading7"/>
        <w:shd w:val="clear" w:color="auto" w:fill="FFFFFF"/>
        <w:spacing w:before="0" w:after="150"/>
        <w:rPr>
          <w:rFonts w:asciiTheme="minorHAnsi" w:hAnsiTheme="minorHAnsi" w:cstheme="minorHAnsi"/>
          <w:i w:val="0"/>
          <w:color w:val="333333"/>
          <w:sz w:val="24"/>
          <w:szCs w:val="24"/>
        </w:rPr>
      </w:pPr>
      <w:r w:rsidRPr="00644838">
        <w:rPr>
          <w:rFonts w:asciiTheme="minorHAnsi" w:hAnsiTheme="minorHAnsi" w:cstheme="minorHAnsi"/>
          <w:i w:val="0"/>
          <w:color w:val="333333"/>
          <w:sz w:val="24"/>
          <w:szCs w:val="24"/>
        </w:rPr>
        <w:t xml:space="preserve">- </w:t>
      </w:r>
      <w:proofErr w:type="gramStart"/>
      <w:r w:rsidRPr="00644838">
        <w:rPr>
          <w:rFonts w:asciiTheme="minorHAnsi" w:hAnsiTheme="minorHAnsi" w:cstheme="minorHAnsi"/>
          <w:i w:val="0"/>
          <w:color w:val="333333"/>
          <w:sz w:val="24"/>
          <w:szCs w:val="24"/>
        </w:rPr>
        <w:t>znanstveno</w:t>
      </w:r>
      <w:proofErr w:type="gramEnd"/>
      <w:r w:rsidRPr="00644838">
        <w:rPr>
          <w:rFonts w:asciiTheme="minorHAnsi" w:hAnsiTheme="minorHAnsi" w:cstheme="minorHAnsi"/>
          <w:i w:val="0"/>
          <w:color w:val="333333"/>
          <w:sz w:val="24"/>
          <w:szCs w:val="24"/>
        </w:rPr>
        <w:t xml:space="preserve"> izučavanje prošlih događanja nekog društva, zajednice ili pojedinca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 xml:space="preserve">-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prvi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iskazi historijskih iskustava kod Grka sačuvani u mitovima i epovima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 xml:space="preserve">-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kod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Rimljana pojavljuje se ep (Nevije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Bellum Punicum</w:t>
      </w:r>
      <w:r w:rsidRPr="00644838">
        <w:rPr>
          <w:rFonts w:cstheme="minorHAnsi"/>
          <w:color w:val="333333"/>
          <w:sz w:val="24"/>
          <w:szCs w:val="24"/>
        </w:rPr>
        <w:t>), ali i prvi prozni spisi na grčkom jeziku – povijesnog karaktera koji prikazuju rimsku povijest od osnutka Rima do svog doba po godinama (</w:t>
      </w:r>
      <w:r w:rsidRPr="00644838">
        <w:rPr>
          <w:rFonts w:cstheme="minorHAnsi"/>
          <w:i/>
          <w:iCs/>
          <w:color w:val="333333"/>
          <w:sz w:val="24"/>
          <w:szCs w:val="24"/>
        </w:rPr>
        <w:t>Annales</w:t>
      </w:r>
      <w:r w:rsidRPr="00644838">
        <w:rPr>
          <w:rFonts w:cstheme="minorHAnsi"/>
          <w:color w:val="333333"/>
          <w:sz w:val="24"/>
          <w:szCs w:val="24"/>
        </w:rPr>
        <w:t>) – autori se nazivaju analisti (stariji i mlađi)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Stariji analisti – predstavljaju grčkom svijetu rimsku povijest i ratove s Kartagom u duhu rimske politike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proofErr w:type="gramStart"/>
      <w:r w:rsidRPr="00644838">
        <w:rPr>
          <w:rFonts w:cstheme="minorHAnsi"/>
          <w:color w:val="333333"/>
          <w:sz w:val="24"/>
          <w:szCs w:val="24"/>
        </w:rPr>
        <w:t>-Kvint Fabije Piktor (</w:t>
      </w:r>
      <w:r w:rsidRPr="00644838">
        <w:rPr>
          <w:rFonts w:cstheme="minorHAnsi"/>
          <w:i/>
          <w:iCs/>
          <w:color w:val="333333"/>
          <w:sz w:val="24"/>
          <w:szCs w:val="24"/>
        </w:rPr>
        <w:t>Quintus Fabius Pictor</w:t>
      </w:r>
      <w:r w:rsidRPr="00644838">
        <w:rPr>
          <w:rFonts w:cstheme="minorHAnsi"/>
          <w:color w:val="333333"/>
          <w:sz w:val="24"/>
          <w:szCs w:val="24"/>
        </w:rPr>
        <w:t>), 3.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st. pr. Kr. – sastavlja povijest Rima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na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grčkom (rimsku prošlost veže uz grčke legende), opisuje i Punske ratove i suvremene odnose Kartage i Rima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lastRenderedPageBreak/>
        <w:t>-Lucije Cincije Aliment (</w:t>
      </w:r>
      <w:r w:rsidRPr="00644838">
        <w:rPr>
          <w:rFonts w:cstheme="minorHAnsi"/>
          <w:i/>
          <w:iCs/>
          <w:color w:val="333333"/>
          <w:sz w:val="24"/>
          <w:szCs w:val="24"/>
        </w:rPr>
        <w:t>Lucius Cincius Alimentus</w:t>
      </w:r>
      <w:r w:rsidRPr="00644838">
        <w:rPr>
          <w:rFonts w:cstheme="minorHAnsi"/>
          <w:color w:val="333333"/>
          <w:sz w:val="24"/>
          <w:szCs w:val="24"/>
        </w:rPr>
        <w:t>), Aul Postumije Albin (</w:t>
      </w:r>
      <w:r w:rsidRPr="00644838">
        <w:rPr>
          <w:rFonts w:cstheme="minorHAnsi"/>
          <w:i/>
          <w:iCs/>
          <w:color w:val="333333"/>
          <w:sz w:val="24"/>
          <w:szCs w:val="24"/>
        </w:rPr>
        <w:t>Aulus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Postumius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Albinus</w:t>
      </w:r>
      <w:r w:rsidRPr="00644838">
        <w:rPr>
          <w:rFonts w:cstheme="minorHAnsi"/>
          <w:color w:val="333333"/>
          <w:sz w:val="24"/>
          <w:szCs w:val="24"/>
        </w:rPr>
        <w:t>), -Gaj Acilije (</w:t>
      </w:r>
      <w:r w:rsidRPr="00644838">
        <w:rPr>
          <w:rFonts w:cstheme="minorHAnsi"/>
          <w:i/>
          <w:iCs/>
          <w:color w:val="333333"/>
          <w:sz w:val="24"/>
          <w:szCs w:val="24"/>
        </w:rPr>
        <w:t>Gaius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Acilius</w:t>
      </w:r>
      <w:r w:rsidRPr="00644838">
        <w:rPr>
          <w:rFonts w:cstheme="minorHAnsi"/>
          <w:color w:val="333333"/>
          <w:sz w:val="24"/>
          <w:szCs w:val="24"/>
        </w:rPr>
        <w:t>), Lucije Kalpurnije Pizon Frugi (</w:t>
      </w:r>
      <w:r w:rsidRPr="00644838">
        <w:rPr>
          <w:rFonts w:cstheme="minorHAnsi"/>
          <w:i/>
          <w:iCs/>
          <w:color w:val="333333"/>
          <w:sz w:val="24"/>
          <w:szCs w:val="24"/>
        </w:rPr>
        <w:t>Lucius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Calpurnius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Piso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Frugi</w:t>
      </w:r>
      <w:r w:rsidRPr="00644838">
        <w:rPr>
          <w:rFonts w:cstheme="minorHAnsi"/>
          <w:color w:val="333333"/>
          <w:sz w:val="24"/>
          <w:szCs w:val="24"/>
        </w:rPr>
        <w:t>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 xml:space="preserve">Mlađi analisti – manje precizni i pouzdani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od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starijih, novelistički prikazuju događaje; autori iz Sulina doba (Kvint Klaudije Kvadrigarije, Valerije Ancijat, Gaj Licinije Macer)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-Marko Porcije Katon Stariji (</w:t>
      </w:r>
      <w:r w:rsidRPr="00644838">
        <w:rPr>
          <w:rFonts w:cstheme="minorHAnsi"/>
          <w:i/>
          <w:iCs/>
          <w:color w:val="333333"/>
          <w:sz w:val="24"/>
          <w:szCs w:val="24"/>
        </w:rPr>
        <w:t>Marcus Porcius Cato Maior</w:t>
      </w:r>
      <w:r w:rsidRPr="00644838">
        <w:rPr>
          <w:rFonts w:cstheme="minorHAnsi"/>
          <w:color w:val="333333"/>
          <w:sz w:val="24"/>
          <w:szCs w:val="24"/>
        </w:rPr>
        <w:t>, 234-149. pr. Kr.) – rimski političar, govornik i književnik</w:t>
      </w:r>
      <w:r w:rsidRPr="00644838">
        <w:rPr>
          <w:rFonts w:cstheme="minorHAnsi"/>
          <w:b/>
          <w:bCs/>
          <w:color w:val="333333"/>
          <w:sz w:val="24"/>
          <w:szCs w:val="24"/>
        </w:rPr>
        <w:t>,</w:t>
      </w:r>
      <w:r w:rsidRPr="00644838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začetnik</w:t>
      </w:r>
      <w:r w:rsidRPr="00644838">
        <w:rPr>
          <w:rStyle w:val="apple-converted-space"/>
          <w:rFonts w:cstheme="minorHAnsi"/>
          <w:b/>
          <w:bCs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rimskog proznog izraza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Podrijetla (</w:t>
      </w:r>
      <w:r w:rsidRPr="00644838">
        <w:rPr>
          <w:rFonts w:cstheme="minorHAnsi"/>
          <w:i/>
          <w:iCs/>
          <w:color w:val="333333"/>
          <w:sz w:val="24"/>
          <w:szCs w:val="24"/>
        </w:rPr>
        <w:t>Origines</w:t>
      </w:r>
      <w:r w:rsidRPr="00644838">
        <w:rPr>
          <w:rFonts w:cstheme="minorHAnsi"/>
          <w:color w:val="333333"/>
          <w:sz w:val="24"/>
          <w:szCs w:val="24"/>
        </w:rPr>
        <w:t xml:space="preserve">) – prvo pravo historiografsko djelo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na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latinskom; povijest Rima i italskih gradova od njihova osnutka; prekid s analistima (pisano na latinskom i podijeljeno po tematskim cjelinama, a ne po godinama)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O poljodjelstvu (</w:t>
      </w:r>
      <w:r w:rsidRPr="00644838">
        <w:rPr>
          <w:rFonts w:cstheme="minorHAnsi"/>
          <w:i/>
          <w:iCs/>
          <w:color w:val="333333"/>
          <w:sz w:val="24"/>
          <w:szCs w:val="24"/>
        </w:rPr>
        <w:t>De agri cultura</w:t>
      </w:r>
      <w:r w:rsidRPr="00644838">
        <w:rPr>
          <w:rFonts w:cstheme="minorHAnsi"/>
          <w:color w:val="333333"/>
          <w:sz w:val="24"/>
          <w:szCs w:val="24"/>
        </w:rPr>
        <w:t>) – najstariji očuvani rimski prozni tekst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b/>
          <w:color w:val="333333"/>
          <w:sz w:val="24"/>
          <w:szCs w:val="24"/>
        </w:rPr>
      </w:pPr>
      <w:r w:rsidRPr="00644838">
        <w:rPr>
          <w:rFonts w:cstheme="minorHAnsi"/>
          <w:b/>
          <w:color w:val="333333"/>
          <w:sz w:val="24"/>
          <w:szCs w:val="24"/>
        </w:rPr>
        <w:t>Najznačajniji historiografi: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b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Gaj Julije Cezar (</w:t>
      </w:r>
      <w:r w:rsidRPr="00644838">
        <w:rPr>
          <w:rFonts w:cstheme="minorHAnsi"/>
          <w:i/>
          <w:iCs/>
          <w:color w:val="333333"/>
          <w:sz w:val="24"/>
          <w:szCs w:val="24"/>
        </w:rPr>
        <w:t>Gaius Iulius Caesar</w:t>
      </w:r>
      <w:r w:rsidRPr="00644838">
        <w:rPr>
          <w:rFonts w:cstheme="minorHAnsi"/>
          <w:color w:val="333333"/>
          <w:sz w:val="24"/>
          <w:szCs w:val="24"/>
        </w:rPr>
        <w:t>, 100.-44.) – monografije o galskom (</w:t>
      </w:r>
      <w:r w:rsidRPr="00644838">
        <w:rPr>
          <w:rFonts w:cstheme="minorHAnsi"/>
          <w:i/>
          <w:iCs/>
          <w:color w:val="333333"/>
          <w:sz w:val="24"/>
          <w:szCs w:val="24"/>
        </w:rPr>
        <w:t>Commentarii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de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bello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Gallico</w:t>
      </w:r>
      <w:r w:rsidRPr="00644838">
        <w:rPr>
          <w:rFonts w:cstheme="minorHAnsi"/>
          <w:color w:val="333333"/>
          <w:sz w:val="24"/>
          <w:szCs w:val="24"/>
        </w:rPr>
        <w:t>, 7 knjiga) i građanskom ratu (</w:t>
      </w:r>
      <w:r w:rsidRPr="00644838">
        <w:rPr>
          <w:rFonts w:cstheme="minorHAnsi"/>
          <w:i/>
          <w:iCs/>
          <w:color w:val="333333"/>
          <w:sz w:val="24"/>
          <w:szCs w:val="24"/>
        </w:rPr>
        <w:t>Commentarii de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bello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civili</w:t>
      </w:r>
      <w:r w:rsidRPr="00644838">
        <w:rPr>
          <w:rFonts w:cstheme="minorHAnsi"/>
          <w:color w:val="333333"/>
          <w:sz w:val="24"/>
          <w:szCs w:val="24"/>
        </w:rPr>
        <w:t>, 3 knjige) (u službi vlastite politike, ali s povijesno važnim podacima)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Kornelije Nepot (</w:t>
      </w:r>
      <w:r w:rsidRPr="00644838">
        <w:rPr>
          <w:rFonts w:cstheme="minorHAnsi"/>
          <w:i/>
          <w:iCs/>
          <w:color w:val="333333"/>
          <w:sz w:val="24"/>
          <w:szCs w:val="24"/>
        </w:rPr>
        <w:t>Cornelius Nepos</w:t>
      </w:r>
      <w:r w:rsidRPr="00644838">
        <w:rPr>
          <w:rFonts w:cstheme="minorHAnsi"/>
          <w:color w:val="333333"/>
          <w:sz w:val="24"/>
          <w:szCs w:val="24"/>
        </w:rPr>
        <w:t>, 1. st. pr. Kr.)– biografije slavnih ličnosti (</w:t>
      </w:r>
      <w:r w:rsidRPr="00644838">
        <w:rPr>
          <w:rFonts w:cstheme="minorHAnsi"/>
          <w:i/>
          <w:iCs/>
          <w:color w:val="333333"/>
          <w:sz w:val="24"/>
          <w:szCs w:val="24"/>
        </w:rPr>
        <w:t>De viris illustribus)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Gaj Salustije Krisp (</w:t>
      </w:r>
      <w:r w:rsidRPr="00644838">
        <w:rPr>
          <w:rFonts w:cstheme="minorHAnsi"/>
          <w:i/>
          <w:iCs/>
          <w:color w:val="333333"/>
          <w:sz w:val="24"/>
          <w:szCs w:val="24"/>
        </w:rPr>
        <w:t>Gaius Sallustius Crispus,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86.-35</w:t>
      </w:r>
      <w:proofErr w:type="gramStart"/>
      <w:r w:rsidRPr="00644838">
        <w:rPr>
          <w:rFonts w:cstheme="minorHAnsi"/>
          <w:color w:val="333333"/>
          <w:sz w:val="24"/>
          <w:szCs w:val="24"/>
        </w:rPr>
        <w:t>. )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–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De coniuratione Catilinae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i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Bellum Iugurthinum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Tit Livije (</w:t>
      </w:r>
      <w:r w:rsidRPr="00644838">
        <w:rPr>
          <w:rFonts w:cstheme="minorHAnsi"/>
          <w:i/>
          <w:iCs/>
          <w:color w:val="333333"/>
          <w:sz w:val="24"/>
          <w:szCs w:val="24"/>
        </w:rPr>
        <w:t>Titus Livius</w:t>
      </w:r>
      <w:r w:rsidRPr="00644838">
        <w:rPr>
          <w:rFonts w:cstheme="minorHAnsi"/>
          <w:color w:val="333333"/>
          <w:sz w:val="24"/>
          <w:szCs w:val="24"/>
        </w:rPr>
        <w:t>, 59. pr. Kr. – 17.) –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Ab Urbe condita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 xml:space="preserve">– prikaz rimske povijesti </w:t>
      </w:r>
      <w:proofErr w:type="gramStart"/>
      <w:r w:rsidRPr="00644838">
        <w:rPr>
          <w:rFonts w:cstheme="minorHAnsi"/>
          <w:color w:val="333333"/>
          <w:sz w:val="24"/>
          <w:szCs w:val="24"/>
        </w:rPr>
        <w:t>od</w:t>
      </w:r>
      <w:proofErr w:type="gramEnd"/>
      <w:r w:rsidRPr="00644838">
        <w:rPr>
          <w:rFonts w:cstheme="minorHAnsi"/>
          <w:color w:val="333333"/>
          <w:sz w:val="24"/>
          <w:szCs w:val="24"/>
        </w:rPr>
        <w:t xml:space="preserve"> njezinih početaka do 9. g. pr. Kr. u 142 knjige (sačuvano 35 knjiga i nešto fragmenata)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Kornelije Tacit (</w:t>
      </w:r>
      <w:r w:rsidRPr="00644838">
        <w:rPr>
          <w:rFonts w:cstheme="minorHAnsi"/>
          <w:i/>
          <w:iCs/>
          <w:color w:val="333333"/>
          <w:sz w:val="24"/>
          <w:szCs w:val="24"/>
        </w:rPr>
        <w:t>Cornelius Tacitus</w:t>
      </w:r>
      <w:r w:rsidRPr="00644838">
        <w:rPr>
          <w:rFonts w:cstheme="minorHAnsi"/>
          <w:color w:val="333333"/>
          <w:sz w:val="24"/>
          <w:szCs w:val="24"/>
        </w:rPr>
        <w:t>, 1</w:t>
      </w:r>
      <w:proofErr w:type="gramStart"/>
      <w:r w:rsidRPr="00644838">
        <w:rPr>
          <w:rFonts w:cstheme="minorHAnsi"/>
          <w:color w:val="333333"/>
          <w:sz w:val="24"/>
          <w:szCs w:val="24"/>
        </w:rPr>
        <w:t>./</w:t>
      </w:r>
      <w:proofErr w:type="gramEnd"/>
      <w:r w:rsidRPr="00644838">
        <w:rPr>
          <w:rFonts w:cstheme="minorHAnsi"/>
          <w:color w:val="333333"/>
          <w:sz w:val="24"/>
          <w:szCs w:val="24"/>
        </w:rPr>
        <w:t>2. st.)– vrhunac historiografije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Annales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i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Historiae</w:t>
      </w:r>
    </w:p>
    <w:p w:rsidR="00AA1157" w:rsidRPr="00644838" w:rsidRDefault="00AA1157" w:rsidP="00AA1157">
      <w:pPr>
        <w:pStyle w:val="ListParagraph"/>
        <w:numPr>
          <w:ilvl w:val="0"/>
          <w:numId w:val="7"/>
        </w:num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</w:rPr>
        <w:t>Gaj Svetonije Trankvil (</w:t>
      </w:r>
      <w:r w:rsidRPr="00644838">
        <w:rPr>
          <w:rFonts w:cstheme="minorHAnsi"/>
          <w:i/>
          <w:iCs/>
          <w:color w:val="333333"/>
          <w:sz w:val="24"/>
          <w:szCs w:val="24"/>
        </w:rPr>
        <w:t>Gaius Suetonius Tranquillus,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1./2. st.) –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De vita Caesarum</w:t>
      </w:r>
      <w:r w:rsidRPr="00644838">
        <w:rPr>
          <w:rFonts w:cstheme="minorHAnsi"/>
          <w:color w:val="333333"/>
          <w:sz w:val="24"/>
          <w:szCs w:val="24"/>
        </w:rPr>
        <w:t>- biografije rimskih careva od Cezara do Domicijana i</w:t>
      </w:r>
      <w:r w:rsidRPr="0064483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644838">
        <w:rPr>
          <w:rFonts w:cstheme="minorHAnsi"/>
          <w:i/>
          <w:iCs/>
          <w:color w:val="333333"/>
          <w:sz w:val="24"/>
          <w:szCs w:val="24"/>
        </w:rPr>
        <w:t>De viris illustribus</w:t>
      </w:r>
      <w:r w:rsidRPr="00644838">
        <w:rPr>
          <w:rStyle w:val="apple-converted-space"/>
          <w:rFonts w:cstheme="minorHAnsi"/>
          <w:i/>
          <w:iCs/>
          <w:color w:val="333333"/>
          <w:sz w:val="24"/>
          <w:szCs w:val="24"/>
        </w:rPr>
        <w:t> </w:t>
      </w:r>
      <w:r w:rsidRPr="00644838">
        <w:rPr>
          <w:rFonts w:cstheme="minorHAnsi"/>
          <w:color w:val="333333"/>
          <w:sz w:val="24"/>
          <w:szCs w:val="24"/>
        </w:rPr>
        <w:t>(sačuvane pojedine biografije)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b/>
          <w:color w:val="333333"/>
          <w:sz w:val="24"/>
          <w:szCs w:val="24"/>
        </w:rPr>
      </w:pPr>
      <w:r w:rsidRPr="00644838">
        <w:rPr>
          <w:rFonts w:cstheme="minorHAnsi"/>
          <w:b/>
          <w:color w:val="333333"/>
          <w:sz w:val="24"/>
          <w:szCs w:val="24"/>
        </w:rPr>
        <w:t>Njihove karakteristike: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t>1. Gaj Julije Cezar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uzor piscima vojne povijesti; od Napoleona proglašen udžbenikom ratnog umijeća; sažet, jasan i jednostavan stil.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t>2. Gaj Salustije Krisp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sljedbenik Tukidida – povijest je grana etike, odnosno govorništva; kao osnovne pokretače političkih događanja uzima moralne činitelje; utjecaj na srednjovjekovlje (osobito govori kao primjer dobra i zla)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lastRenderedPageBreak/>
        <w:t>3.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bCs/>
          <w:color w:val="333333"/>
          <w:sz w:val="24"/>
          <w:szCs w:val="24"/>
          <w:lang w:val="hr-HR"/>
        </w:rPr>
        <w:t>Tit Livije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rodoljubno ističe vrline i postignuća rimske republike (slaveći i Augusta i Tiberija); njegovo djelo potvrđuje gledište da je antička historiografija grana govorništva; veliki uspjeh u humanizmu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  <w:lang w:val="hr-HR"/>
        </w:rPr>
        <w:t>- zbirke primjera za pouku suvremenika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pomoću prikaza moralnog i političkog držanja istaknutih pojedinaca te njihovih izmišljenih govora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t>4. Kornelije Tacit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najveći domet historiografije za Rimskog carstva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  <w:lang w:val="hr-HR"/>
        </w:rPr>
        <w:t>- biografija svojeg tasta Agrikole i daje etnografski opis Germanije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i/>
          <w:iCs/>
          <w:color w:val="333333"/>
          <w:sz w:val="24"/>
          <w:szCs w:val="24"/>
          <w:lang w:val="hr-HR"/>
        </w:rPr>
        <w:t>historiae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pripovijesti o različitim događajima kojima je autor sam prisustvovao ili o njima doznaje iz pouzdanih izvora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i/>
          <w:iCs/>
          <w:color w:val="333333"/>
          <w:sz w:val="24"/>
          <w:szCs w:val="24"/>
          <w:lang w:val="hr-HR"/>
        </w:rPr>
        <w:t>annales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pregled povijesnih događanja zabilježenih po godinama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color w:val="333333"/>
          <w:sz w:val="24"/>
          <w:szCs w:val="24"/>
          <w:lang w:val="hr-HR"/>
        </w:rPr>
        <w:t>Povijesna zbivanja usmjerava sudbina, a pojedinačni događaji ovise o ljudskim strastima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i/>
          <w:iCs/>
          <w:color w:val="333333"/>
          <w:sz w:val="24"/>
          <w:szCs w:val="24"/>
          <w:lang w:val="hr-HR"/>
        </w:rPr>
        <w:t>sine ira et studio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nije provedena u praksi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t>5. Kornelije Nepot</w:t>
      </w:r>
      <w:r w:rsidRPr="00644838">
        <w:rPr>
          <w:rFonts w:cstheme="minorHAnsi"/>
          <w:color w:val="333333"/>
          <w:sz w:val="24"/>
          <w:szCs w:val="24"/>
        </w:rPr>
        <w:t xml:space="preserve">- </w:t>
      </w:r>
      <w:r w:rsidRPr="00644838">
        <w:rPr>
          <w:rFonts w:cstheme="minorHAnsi"/>
          <w:color w:val="333333"/>
          <w:sz w:val="24"/>
          <w:szCs w:val="24"/>
          <w:lang w:val="hr-HR"/>
        </w:rPr>
        <w:t>važno mjesto u historiografiji zauzimaju biografije – želja za poučnošću; najstariji poznati pisac biografija; piše u duhu grčke tradicije; karakter čovjeka određuje njegovu sudbinu i prava se ljudska narav vidi u djelima</w:t>
      </w:r>
    </w:p>
    <w:p w:rsidR="00AA1157" w:rsidRPr="00644838" w:rsidRDefault="00AA1157" w:rsidP="00AA1157">
      <w:pPr>
        <w:shd w:val="clear" w:color="auto" w:fill="FFFFFF"/>
        <w:spacing w:after="150" w:line="400" w:lineRule="atLeast"/>
        <w:rPr>
          <w:rFonts w:cstheme="minorHAnsi"/>
          <w:color w:val="333333"/>
          <w:sz w:val="24"/>
          <w:szCs w:val="24"/>
        </w:rPr>
      </w:pPr>
      <w:r w:rsidRPr="00644838">
        <w:rPr>
          <w:rFonts w:cstheme="minorHAnsi"/>
          <w:bCs/>
          <w:color w:val="333333"/>
          <w:sz w:val="24"/>
          <w:szCs w:val="24"/>
          <w:lang w:val="hr-HR"/>
        </w:rPr>
        <w:t>6. Gaj Svetonije Trankvil</w:t>
      </w:r>
      <w:r w:rsidRPr="00644838">
        <w:rPr>
          <w:rStyle w:val="apple-converted-space"/>
          <w:rFonts w:cstheme="minorHAnsi"/>
          <w:color w:val="333333"/>
          <w:sz w:val="24"/>
          <w:szCs w:val="24"/>
          <w:lang w:val="hr-HR"/>
        </w:rPr>
        <w:t> </w:t>
      </w:r>
      <w:r w:rsidRPr="00644838">
        <w:rPr>
          <w:rFonts w:cstheme="minorHAnsi"/>
          <w:color w:val="333333"/>
          <w:sz w:val="24"/>
          <w:szCs w:val="24"/>
          <w:lang w:val="hr-HR"/>
        </w:rPr>
        <w:t>– prekid s dosadašnjom tradicijom biografija i stvaranje obrasca koji su preuzeli srednji vijek i kasnija razdoblja</w:t>
      </w:r>
    </w:p>
    <w:p w:rsidR="00AA1157" w:rsidRDefault="00AA1157" w:rsidP="003E1A2B">
      <w:pPr>
        <w:spacing w:line="240" w:lineRule="auto"/>
        <w:rPr>
          <w:rFonts w:cstheme="minorHAnsi"/>
          <w:sz w:val="28"/>
          <w:szCs w:val="28"/>
        </w:rPr>
      </w:pPr>
    </w:p>
    <w:p w:rsidR="00741F7F" w:rsidRPr="00744DD2" w:rsidRDefault="00741F7F" w:rsidP="00741F7F">
      <w:pPr>
        <w:spacing w:line="240" w:lineRule="auto"/>
        <w:rPr>
          <w:rStyle w:val="a"/>
          <w:sz w:val="24"/>
          <w:szCs w:val="24"/>
        </w:rPr>
      </w:pPr>
      <w:r w:rsidRPr="00744DD2">
        <w:rPr>
          <w:rStyle w:val="a"/>
          <w:sz w:val="24"/>
          <w:szCs w:val="24"/>
        </w:rPr>
        <w:t>RIMSKA HISTORIOGRAFIJA</w:t>
      </w:r>
      <w:r w:rsidR="00744DD2" w:rsidRPr="00744DD2">
        <w:rPr>
          <w:rStyle w:val="a"/>
          <w:sz w:val="24"/>
          <w:szCs w:val="24"/>
        </w:rPr>
        <w:t xml:space="preserve"> prezentacija:</w:t>
      </w:r>
    </w:p>
    <w:p w:rsidR="00741F7F" w:rsidRPr="00B442A1" w:rsidRDefault="00741F7F" w:rsidP="00741F7F">
      <w:pPr>
        <w:spacing w:line="240" w:lineRule="auto"/>
        <w:rPr>
          <w:rStyle w:val="a"/>
        </w:rPr>
      </w:pPr>
      <w:r w:rsidRPr="00B442A1">
        <w:rPr>
          <w:rStyle w:val="a"/>
        </w:rPr>
        <w:t>Povijest četvrtkom</w:t>
      </w:r>
    </w:p>
    <w:p w:rsidR="00000000" w:rsidRPr="00B442A1" w:rsidRDefault="00744DD2" w:rsidP="00741F7F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Često</w:t>
      </w:r>
      <w:r w:rsidRPr="00B442A1">
        <w:rPr>
          <w:rFonts w:cstheme="minorHAnsi"/>
          <w:lang w:val="hr-HR"/>
        </w:rPr>
        <w:t xml:space="preserve"> pomislim kako je čudno što je tako dosadna, budući da je veći njezin dio zasigurno izmišljen.</w:t>
      </w:r>
    </w:p>
    <w:p w:rsidR="00000000" w:rsidRPr="00B442A1" w:rsidRDefault="00744DD2" w:rsidP="00741F7F">
      <w:pPr>
        <w:numPr>
          <w:ilvl w:val="0"/>
          <w:numId w:val="9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 xml:space="preserve">Povijest – nešto između “objektivne kompilacije činjenica” i “subjektivnog proizvoda povjesničareva uma”. </w:t>
      </w:r>
    </w:p>
    <w:p w:rsidR="00741F7F" w:rsidRPr="00B442A1" w:rsidRDefault="00741F7F" w:rsidP="003E1A2B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t>Gaj Julije</w:t>
      </w:r>
      <w:r w:rsidR="00B442A1">
        <w:rPr>
          <w:rFonts w:cstheme="minorHAnsi"/>
          <w:sz w:val="24"/>
          <w:szCs w:val="24"/>
        </w:rPr>
        <w:t xml:space="preserve"> </w:t>
      </w:r>
      <w:r w:rsidRPr="00B442A1">
        <w:rPr>
          <w:rFonts w:cstheme="minorHAnsi"/>
          <w:sz w:val="24"/>
          <w:szCs w:val="24"/>
        </w:rPr>
        <w:t>Cezar</w:t>
      </w:r>
    </w:p>
    <w:p w:rsidR="00000000" w:rsidRPr="00B442A1" w:rsidRDefault="00744DD2" w:rsidP="00741F7F">
      <w:pPr>
        <w:numPr>
          <w:ilvl w:val="0"/>
          <w:numId w:val="12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Alea iacta est. – Kocka je bačena.</w:t>
      </w:r>
    </w:p>
    <w:p w:rsidR="00000000" w:rsidRPr="00B442A1" w:rsidRDefault="00744DD2" w:rsidP="00741F7F">
      <w:pPr>
        <w:numPr>
          <w:ilvl w:val="0"/>
          <w:numId w:val="12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Aut Caesar au</w:t>
      </w:r>
      <w:r w:rsidRPr="00B442A1">
        <w:rPr>
          <w:rFonts w:cstheme="minorHAnsi"/>
          <w:lang w:val="hr-HR"/>
        </w:rPr>
        <w:t>t nihil. – Ili Cezar ili ništa.</w:t>
      </w:r>
    </w:p>
    <w:p w:rsidR="00000000" w:rsidRPr="00B442A1" w:rsidRDefault="00744DD2" w:rsidP="00741F7F">
      <w:pPr>
        <w:numPr>
          <w:ilvl w:val="0"/>
          <w:numId w:val="12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Etiam tu, mi fili Brute! – Zar i ti, sine Brute!</w:t>
      </w:r>
    </w:p>
    <w:p w:rsidR="00000000" w:rsidRPr="00B442A1" w:rsidRDefault="00744DD2" w:rsidP="00741F7F">
      <w:pPr>
        <w:numPr>
          <w:ilvl w:val="0"/>
          <w:numId w:val="12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Libenter homines id, quod volunt, credunt. – Ljudi rado vjeruju u ono što žele.</w:t>
      </w:r>
    </w:p>
    <w:p w:rsidR="00000000" w:rsidRPr="00B442A1" w:rsidRDefault="00744DD2" w:rsidP="00741F7F">
      <w:pPr>
        <w:numPr>
          <w:ilvl w:val="0"/>
          <w:numId w:val="12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 xml:space="preserve">Veni, vidi, vici! – Dođoh, vidjeh, pobjedih! </w:t>
      </w:r>
    </w:p>
    <w:p w:rsidR="00741F7F" w:rsidRPr="00B442A1" w:rsidRDefault="00741F7F" w:rsidP="003E1A2B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lastRenderedPageBreak/>
        <w:t>Gaj Salustije Krisp</w:t>
      </w:r>
    </w:p>
    <w:p w:rsidR="00000000" w:rsidRPr="00741F7F" w:rsidRDefault="00744DD2" w:rsidP="00741F7F">
      <w:pPr>
        <w:numPr>
          <w:ilvl w:val="0"/>
          <w:numId w:val="13"/>
        </w:numPr>
        <w:spacing w:line="240" w:lineRule="auto"/>
        <w:rPr>
          <w:rFonts w:cstheme="minorHAnsi"/>
        </w:rPr>
      </w:pPr>
      <w:r w:rsidRPr="00741F7F">
        <w:rPr>
          <w:rFonts w:cstheme="minorHAnsi"/>
          <w:lang w:val="hr-HR"/>
        </w:rPr>
        <w:t>Concordia parvae res crescunt, discordia maxu</w:t>
      </w:r>
      <w:r w:rsidRPr="00741F7F">
        <w:rPr>
          <w:rFonts w:cstheme="minorHAnsi"/>
          <w:lang w:val="hr-HR"/>
        </w:rPr>
        <w:t>mae dilabuntur. – Slogom rastu male stvari, a i najveće neslogom propadaju.</w:t>
      </w:r>
    </w:p>
    <w:p w:rsidR="00000000" w:rsidRPr="00741F7F" w:rsidRDefault="00744DD2" w:rsidP="00741F7F">
      <w:pPr>
        <w:numPr>
          <w:ilvl w:val="0"/>
          <w:numId w:val="13"/>
        </w:numPr>
        <w:spacing w:line="240" w:lineRule="auto"/>
        <w:rPr>
          <w:rFonts w:cstheme="minorHAnsi"/>
        </w:rPr>
      </w:pPr>
      <w:r w:rsidRPr="00741F7F">
        <w:rPr>
          <w:rFonts w:cstheme="minorHAnsi"/>
          <w:lang w:val="hr-HR"/>
        </w:rPr>
        <w:t>Idem velle atque idem nolle, ea demum firma amicitia est. – Isto željeti i isto ne željeti, to je uistinu čvrsto prijateljstvo.</w:t>
      </w:r>
    </w:p>
    <w:p w:rsidR="00000000" w:rsidRPr="00741F7F" w:rsidRDefault="00744DD2" w:rsidP="00741F7F">
      <w:pPr>
        <w:numPr>
          <w:ilvl w:val="0"/>
          <w:numId w:val="13"/>
        </w:numPr>
        <w:spacing w:line="240" w:lineRule="auto"/>
        <w:rPr>
          <w:rFonts w:cstheme="minorHAnsi"/>
        </w:rPr>
      </w:pPr>
      <w:r w:rsidRPr="00741F7F">
        <w:rPr>
          <w:rFonts w:cstheme="minorHAnsi"/>
          <w:lang w:val="hr-HR"/>
        </w:rPr>
        <w:t xml:space="preserve">Maria montesque </w:t>
      </w:r>
      <w:r w:rsidRPr="00741F7F">
        <w:rPr>
          <w:rFonts w:cstheme="minorHAnsi"/>
          <w:lang w:val="hr-HR"/>
        </w:rPr>
        <w:t>polliceri. – Obećavati brda (mora) i planine.</w:t>
      </w:r>
    </w:p>
    <w:p w:rsidR="00741F7F" w:rsidRDefault="00744DD2" w:rsidP="003E1A2B">
      <w:pPr>
        <w:numPr>
          <w:ilvl w:val="0"/>
          <w:numId w:val="13"/>
        </w:numPr>
        <w:spacing w:line="240" w:lineRule="auto"/>
        <w:rPr>
          <w:rFonts w:cstheme="minorHAnsi"/>
        </w:rPr>
      </w:pPr>
      <w:r w:rsidRPr="00741F7F">
        <w:rPr>
          <w:rFonts w:cstheme="minorHAnsi"/>
          <w:lang w:val="hr-HR"/>
        </w:rPr>
        <w:t xml:space="preserve">Non exercitus neque thesauri praesidia regni sunt, verum amici. – Nisu vojska i blago zaštita kraljevstva, nego prijatelji. </w:t>
      </w:r>
    </w:p>
    <w:p w:rsidR="00741F7F" w:rsidRPr="00B442A1" w:rsidRDefault="00741F7F" w:rsidP="00741F7F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t>Kornelije Nepot</w:t>
      </w:r>
    </w:p>
    <w:p w:rsidR="00741F7F" w:rsidRPr="00741F7F" w:rsidRDefault="00741F7F" w:rsidP="00741F7F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741F7F">
        <w:rPr>
          <w:rFonts w:cstheme="minorHAnsi"/>
          <w:i/>
          <w:iCs/>
          <w:lang w:val="hr-HR"/>
        </w:rPr>
        <w:t>Catulli Carmina 1</w:t>
      </w:r>
    </w:p>
    <w:p w:rsidR="00741F7F" w:rsidRPr="00741F7F" w:rsidRDefault="00741F7F" w:rsidP="00741F7F">
      <w:pPr>
        <w:spacing w:line="240" w:lineRule="auto"/>
        <w:rPr>
          <w:rFonts w:cstheme="minorHAnsi"/>
        </w:rPr>
      </w:pPr>
      <w:r w:rsidRPr="00741F7F">
        <w:rPr>
          <w:rFonts w:cstheme="minorHAnsi"/>
          <w:lang w:val="hr-HR"/>
        </w:rPr>
        <w:t>Cui dono lepidum novum libellum</w:t>
      </w:r>
      <w:r w:rsidRPr="00741F7F">
        <w:rPr>
          <w:rFonts w:cstheme="minorHAnsi"/>
          <w:lang w:val="hr-HR"/>
        </w:rPr>
        <w:br/>
        <w:t>arida modo pumice expolitum?</w:t>
      </w:r>
      <w:r w:rsidRPr="00741F7F">
        <w:rPr>
          <w:rFonts w:cstheme="minorHAnsi"/>
          <w:lang w:val="hr-HR"/>
        </w:rPr>
        <w:br/>
        <w:t>Corneli, tibi: namque tu solebas</w:t>
      </w:r>
      <w:r w:rsidRPr="00741F7F">
        <w:rPr>
          <w:rFonts w:cstheme="minorHAnsi"/>
          <w:lang w:val="hr-HR"/>
        </w:rPr>
        <w:br/>
        <w:t>meas esse aliquid putare nugas.</w:t>
      </w:r>
      <w:r w:rsidRPr="00741F7F">
        <w:rPr>
          <w:rFonts w:cstheme="minorHAnsi"/>
          <w:lang w:val="hr-HR"/>
        </w:rPr>
        <w:br/>
        <w:t>Iam tum, cum ausus es unus Italorum</w:t>
      </w:r>
      <w:r w:rsidRPr="00741F7F">
        <w:rPr>
          <w:rFonts w:cstheme="minorHAnsi"/>
          <w:lang w:val="hr-HR"/>
        </w:rPr>
        <w:br/>
        <w:t>omne aevum tribus explicare cartis...</w:t>
      </w:r>
      <w:r w:rsidRPr="00741F7F">
        <w:rPr>
          <w:rFonts w:cstheme="minorHAnsi"/>
          <w:lang w:val="hr-HR"/>
        </w:rPr>
        <w:br/>
        <w:t>Doctis, Iuppiter, et laboriosis!</w:t>
      </w:r>
      <w:r w:rsidRPr="00741F7F">
        <w:rPr>
          <w:rFonts w:cstheme="minorHAnsi"/>
          <w:lang w:val="hr-HR"/>
        </w:rPr>
        <w:br/>
        <w:t>Quare habe tibi quidquid hoc libelli—</w:t>
      </w:r>
      <w:r w:rsidRPr="00741F7F">
        <w:rPr>
          <w:rFonts w:cstheme="minorHAnsi"/>
          <w:lang w:val="hr-HR"/>
        </w:rPr>
        <w:br/>
        <w:t>qualecumque, quod, o patrona virgo,</w:t>
      </w:r>
      <w:r w:rsidRPr="00741F7F">
        <w:rPr>
          <w:rFonts w:cstheme="minorHAnsi"/>
          <w:lang w:val="hr-HR"/>
        </w:rPr>
        <w:br/>
        <w:t xml:space="preserve">plus uno maneat perenne saeclo! </w:t>
      </w:r>
    </w:p>
    <w:p w:rsidR="00B442A1" w:rsidRDefault="00B442A1" w:rsidP="00741F7F">
      <w:pPr>
        <w:spacing w:line="240" w:lineRule="auto"/>
        <w:rPr>
          <w:rFonts w:cstheme="minorHAnsi"/>
        </w:rPr>
      </w:pPr>
    </w:p>
    <w:p w:rsidR="00741F7F" w:rsidRPr="00B442A1" w:rsidRDefault="00741F7F" w:rsidP="00741F7F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t>Tit Livije</w:t>
      </w:r>
    </w:p>
    <w:p w:rsidR="00000000" w:rsidRPr="00B442A1" w:rsidRDefault="00744DD2" w:rsidP="00B442A1">
      <w:pPr>
        <w:numPr>
          <w:ilvl w:val="0"/>
          <w:numId w:val="14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Periculum in mora. – Opasnost je u čekanju.</w:t>
      </w:r>
    </w:p>
    <w:p w:rsidR="00000000" w:rsidRPr="00B442A1" w:rsidRDefault="00744DD2" w:rsidP="00B442A1">
      <w:pPr>
        <w:numPr>
          <w:ilvl w:val="0"/>
          <w:numId w:val="14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Potius sero quam numquam. – Radije kasno nego nikad.</w:t>
      </w:r>
    </w:p>
    <w:p w:rsidR="00000000" w:rsidRPr="00B442A1" w:rsidRDefault="00744DD2" w:rsidP="00B442A1">
      <w:pPr>
        <w:numPr>
          <w:ilvl w:val="0"/>
          <w:numId w:val="14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Melior tutiorque est certa pax quam sperata victoria. – Bolji je i pouzdaniji siguran mir, nego pobjeda kojoj se nadamo.</w:t>
      </w:r>
    </w:p>
    <w:p w:rsidR="00B442A1" w:rsidRPr="00B442A1" w:rsidRDefault="00B442A1" w:rsidP="00B442A1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t>Kornelije Tacit</w:t>
      </w:r>
    </w:p>
    <w:p w:rsidR="00B442A1" w:rsidRPr="00B442A1" w:rsidRDefault="00B442A1" w:rsidP="00B442A1">
      <w:pPr>
        <w:spacing w:line="240" w:lineRule="auto"/>
        <w:rPr>
          <w:rFonts w:cstheme="minorHAnsi"/>
          <w:sz w:val="24"/>
          <w:szCs w:val="24"/>
        </w:rPr>
      </w:pPr>
      <w:r w:rsidRPr="00B442A1">
        <w:rPr>
          <w:rFonts w:cstheme="minorHAnsi"/>
          <w:sz w:val="24"/>
          <w:szCs w:val="24"/>
        </w:rPr>
        <w:t>Gaj Svetonije Trankvil</w:t>
      </w:r>
    </w:p>
    <w:p w:rsidR="00B442A1" w:rsidRPr="00B442A1" w:rsidRDefault="00B442A1" w:rsidP="00B442A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442A1">
        <w:rPr>
          <w:rFonts w:cstheme="minorHAnsi"/>
          <w:lang w:val="hr-HR"/>
        </w:rPr>
        <w:t>Vulpes pilum mutat, non mores. – Vuk (lisica) dlaku mijenja, ćud nikada</w:t>
      </w:r>
    </w:p>
    <w:p w:rsidR="00B442A1" w:rsidRDefault="00B442A1" w:rsidP="00B442A1">
      <w:pPr>
        <w:spacing w:line="240" w:lineRule="auto"/>
        <w:ind w:left="360"/>
        <w:rPr>
          <w:rFonts w:cstheme="minorHAnsi"/>
        </w:rPr>
      </w:pPr>
    </w:p>
    <w:p w:rsidR="00B442A1" w:rsidRDefault="00B442A1" w:rsidP="00B442A1">
      <w:pPr>
        <w:spacing w:line="240" w:lineRule="auto"/>
        <w:rPr>
          <w:rFonts w:cstheme="minorHAnsi"/>
          <w:sz w:val="24"/>
          <w:szCs w:val="24"/>
        </w:rPr>
      </w:pPr>
      <w:r w:rsidRPr="00AA1157">
        <w:rPr>
          <w:rFonts w:cstheme="minorHAnsi"/>
          <w:sz w:val="24"/>
          <w:szCs w:val="24"/>
        </w:rPr>
        <w:t>CITATI: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</w:rPr>
      </w:pPr>
      <w:r w:rsidRPr="00AA1157">
        <w:rPr>
          <w:rFonts w:ascii="Arial" w:eastAsia="Times New Roman" w:hAnsi="Arial" w:cs="Arial"/>
          <w:b/>
          <w:bCs/>
          <w:color w:val="333333"/>
          <w:lang w:val="hr-HR"/>
        </w:rPr>
        <w:t>SALUSTIJE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  <w:lang w:val="hr-HR"/>
        </w:rPr>
        <w:t>a) Marijev govor u «Ratu s Jugurtom» (</w:t>
      </w:r>
      <w:r w:rsidRPr="00B442A1">
        <w:rPr>
          <w:rFonts w:ascii="Arial" w:eastAsia="Times New Roman" w:hAnsi="Arial" w:cs="Arial"/>
          <w:i/>
          <w:iCs/>
          <w:color w:val="333333"/>
          <w:sz w:val="20"/>
          <w:szCs w:val="20"/>
          <w:lang w:val="hr-HR"/>
        </w:rPr>
        <w:t>Bellum Iugurthinum)</w:t>
      </w:r>
      <w:r w:rsidRPr="00B442A1">
        <w:rPr>
          <w:rFonts w:ascii="Arial" w:eastAsia="Times New Roman" w:hAnsi="Arial" w:cs="Arial"/>
          <w:color w:val="333333"/>
          <w:sz w:val="20"/>
          <w:szCs w:val="20"/>
          <w:lang w:val="hr-HR"/>
        </w:rPr>
        <w:t> </w:t>
      </w:r>
      <w:r w:rsidRPr="00AA1157">
        <w:rPr>
          <w:rFonts w:ascii="Arial" w:eastAsia="Times New Roman" w:hAnsi="Arial" w:cs="Arial"/>
          <w:color w:val="333333"/>
          <w:sz w:val="20"/>
          <w:szCs w:val="20"/>
          <w:lang w:val="hr-HR"/>
        </w:rPr>
        <w:t>(C.85) – Marije suprotstavlja vlastite zasluge i dostignuća naslijeđenim povlasticama ljudi višeg staleža i predstavlja se kao običan čovjek iz puka: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Ne mogu tome za dokaz pokazati obrazine niti trijumfe niti konzulate svojih predaka,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ali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, zahtijeva li stvar, mogu pokazati koplja, zastavu, kolajne i druga vojnička odlikovanja, a pored toga i ožiljke na prsima. To su moje obrazine, to je plemstvo, ne ostavljeno meni u nasljedstvo, kao njihovo njima, nego ono što sam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ja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svojim vlastitim naporima i pogibeljima priskrbio. Nisu kićene moje riječi: malo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ja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to cijenim.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Njima se hoće vještine, da sramotna djela prikriju govorom.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Nisam proučio niti grčkih knjiga, slabo mi se sviđalo učiti ih jer za vrlinu nisu nimalo koristile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ni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njihovim učiteljima (...) Kažu da sam prostak i čovjek neotesana ponašanja jer premalo znalački priređujem gozbu, a nemam ni bilo kakva glumca</w:t>
      </w:r>
      <w:r w:rsidRPr="00B442A1">
        <w:rPr>
          <w:rFonts w:ascii="Arial" w:eastAsia="Times New Roman" w:hAnsi="Arial" w:cs="Arial"/>
          <w:color w:val="333333"/>
          <w:sz w:val="20"/>
          <w:szCs w:val="20"/>
        </w:rPr>
        <w:t xml:space="preserve"> ili kuhara koji bi me stajao 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t>više nego upravitelj imanja.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t>b) "Rat s Katilinom"</w:t>
      </w:r>
      <w:r w:rsidRPr="00B442A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442A1">
        <w:rPr>
          <w:rFonts w:ascii="Arial" w:eastAsia="Times New Roman" w:hAnsi="Arial" w:cs="Arial"/>
          <w:i/>
          <w:iCs/>
          <w:color w:val="333333"/>
          <w:sz w:val="20"/>
          <w:szCs w:val="20"/>
        </w:rPr>
        <w:t>Bellum Catilinae</w:t>
      </w:r>
      <w:r w:rsidRPr="00B442A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t>(C.10)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Najprije je, stoga, porasla žudnja za vlašću, potom za novcem: to je postalo kao kakav uzrok svih zala. Jer lakomost je uništila vjeru, poštenje i ostale dobre osobine; umjesto njih naučila je ljude oholosti, okrutnosti, prezirati bogove, sve držati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prodaju. Država se preobrazila, a vlast se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vrlo pravedne i čestite pretvorila u okrutnu i nepodnošljivu.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</w:rPr>
      </w:pPr>
      <w:r w:rsidRPr="00AA1157">
        <w:rPr>
          <w:rFonts w:ascii="Arial" w:eastAsia="Times New Roman" w:hAnsi="Arial" w:cs="Arial"/>
          <w:b/>
          <w:bCs/>
          <w:color w:val="333333"/>
        </w:rPr>
        <w:t>CEZAR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t>a) "O galskom ratu"</w:t>
      </w:r>
      <w:r w:rsidRPr="00741F7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De </w:t>
      </w:r>
      <w:proofErr w:type="gramStart"/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>bello</w:t>
      </w:r>
      <w:proofErr w:type="gramEnd"/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Gallico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b/>
          <w:color w:val="333333"/>
        </w:rPr>
      </w:pPr>
      <w:r w:rsidRPr="00AA1157">
        <w:rPr>
          <w:rFonts w:ascii="Arial" w:eastAsia="Times New Roman" w:hAnsi="Arial" w:cs="Arial"/>
          <w:b/>
          <w:color w:val="333333"/>
        </w:rPr>
        <w:t>KORENLIJE NEPOT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>De viris illustribus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b/>
          <w:color w:val="333333"/>
        </w:rPr>
      </w:pPr>
      <w:r w:rsidRPr="00AA1157">
        <w:rPr>
          <w:rFonts w:ascii="Arial" w:eastAsia="Times New Roman" w:hAnsi="Arial" w:cs="Arial"/>
          <w:b/>
          <w:color w:val="333333"/>
        </w:rPr>
        <w:t>LIVIJE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osnutka grada -</w:t>
      </w:r>
      <w:r w:rsidRPr="00741F7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>Ab Urbe condita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Žene su zbog odijevanja izašle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ulične prosvjede 195.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pr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>. Kr. Predloženo je da se opozove</w:t>
      </w:r>
      <w:r w:rsidRPr="00741F7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41F7F">
        <w:rPr>
          <w:rFonts w:ascii="Arial" w:eastAsia="Times New Roman" w:hAnsi="Arial" w:cs="Arial"/>
          <w:i/>
          <w:iCs/>
          <w:color w:val="333333"/>
          <w:sz w:val="20"/>
          <w:szCs w:val="20"/>
        </w:rPr>
        <w:t>Lex Oppia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, zakon o rakoši nametnut ženama za punskih ratova, ali tribuni su to spriječili. Žene izlaze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ulice, a Marko Katon (u Livijevoj interpretaciji) drži govor:</w:t>
      </w:r>
    </w:p>
    <w:p w:rsidR="00B442A1" w:rsidRPr="00AA1157" w:rsidRDefault="00B442A1" w:rsidP="00B442A1">
      <w:pPr>
        <w:shd w:val="clear" w:color="auto" w:fill="FFFFFF"/>
        <w:spacing w:after="150" w:line="4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Građani Rima, kad bi se svaki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nas potrudio da zadrži prava i dostojanstvo muža prema vlastitoj ženi, imali bismo manje teškoća s cijelim ženskim rodom. Kako stvari stoje, naša je sloboda, koju je u domovima svrgnula ženska neposlušnost, sada prigušena i zgažena i ovdje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Forumu. Zbog toga što ih nismo držali pod paskom pojedinačno, sad nas zastrašuju zajedno.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br/>
        <w:t xml:space="preserve">Naši su preci svim ženama branili da sklapaju čak i privatne poslove bez skrbnika koji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će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ih zastupati; žene su morale biti pod paskom očeva, braće ili muževa. Ali mi im (neka nas bogovi sačuvaju) dopuštamo čak i da sudjeluju u državnim poslovima, da se pojavljuju i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Forumu i sudjeluju na našim skupovima i skupštinama! Što li sada rade na ulicama i na uličnim uglovima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?...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dajete slobodu njihovoj </w:t>
      </w:r>
      <w:r w:rsidRPr="00AA1157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razularenoj prirodi, toj neukroćenoj životinji, i onda očekujete od njih da same ograniče svoju razularenost! Ako im ne nametnete tu granicu, ona je posljednja prepreka koju ženama nameće zakon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ili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običaji na koje su ogorčene. Ono što žele jest potpuna sloboda, </w:t>
      </w:r>
      <w:proofErr w:type="gramStart"/>
      <w:r w:rsidRPr="00AA1157">
        <w:rPr>
          <w:rFonts w:ascii="Arial" w:eastAsia="Times New Roman" w:hAnsi="Arial" w:cs="Arial"/>
          <w:color w:val="333333"/>
          <w:sz w:val="20"/>
          <w:szCs w:val="20"/>
        </w:rPr>
        <w:t>ili</w:t>
      </w:r>
      <w:proofErr w:type="gramEnd"/>
      <w:r w:rsidRPr="00AA1157">
        <w:rPr>
          <w:rFonts w:ascii="Arial" w:eastAsia="Times New Roman" w:hAnsi="Arial" w:cs="Arial"/>
          <w:color w:val="333333"/>
          <w:sz w:val="20"/>
          <w:szCs w:val="20"/>
        </w:rPr>
        <w:t xml:space="preserve"> - ako ćemo govoriti iskreno - potpuna razularenost.</w:t>
      </w:r>
    </w:p>
    <w:p w:rsidR="00B442A1" w:rsidRDefault="00B442A1" w:rsidP="00B442A1">
      <w:pPr>
        <w:spacing w:line="240" w:lineRule="auto"/>
        <w:rPr>
          <w:rFonts w:cstheme="minorHAnsi"/>
          <w:sz w:val="24"/>
          <w:szCs w:val="24"/>
        </w:rPr>
      </w:pPr>
    </w:p>
    <w:p w:rsidR="00B442A1" w:rsidRDefault="00B442A1" w:rsidP="00B442A1">
      <w:pPr>
        <w:spacing w:line="240" w:lineRule="auto"/>
        <w:rPr>
          <w:rFonts w:cstheme="minorHAnsi"/>
          <w:b/>
        </w:rPr>
      </w:pPr>
      <w:r w:rsidRPr="00741F7F">
        <w:rPr>
          <w:rFonts w:cstheme="minorHAnsi"/>
          <w:b/>
        </w:rPr>
        <w:t>TACIT</w:t>
      </w:r>
    </w:p>
    <w:p w:rsidR="00B442A1" w:rsidRDefault="00B442A1" w:rsidP="00B442A1">
      <w:pPr>
        <w:spacing w:line="240" w:lineRule="auto"/>
        <w:rPr>
          <w:rFonts w:cstheme="minorHAnsi"/>
        </w:rPr>
      </w:pPr>
      <w:r>
        <w:rPr>
          <w:rFonts w:cstheme="minorHAnsi"/>
        </w:rPr>
        <w:t>Historiae</w:t>
      </w:r>
    </w:p>
    <w:p w:rsidR="00B442A1" w:rsidRPr="00741F7F" w:rsidRDefault="00B442A1" w:rsidP="00B442A1">
      <w:pPr>
        <w:spacing w:line="240" w:lineRule="auto"/>
        <w:rPr>
          <w:rStyle w:val="a"/>
          <w:sz w:val="20"/>
          <w:szCs w:val="20"/>
        </w:rPr>
      </w:pPr>
      <w:r w:rsidRPr="00741F7F">
        <w:rPr>
          <w:rStyle w:val="a"/>
          <w:sz w:val="20"/>
          <w:szCs w:val="20"/>
        </w:rPr>
        <w:t>2. Prihvaćam se djela bogata nesrećama, puna strašnih bitaka, razdora i buna, čak i u miru užasna.Četiri cara smaknuta mačem, tri građanska rata</w:t>
      </w:r>
      <w:proofErr w:type="gramStart"/>
      <w:r w:rsidRPr="00741F7F">
        <w:rPr>
          <w:rStyle w:val="a"/>
          <w:sz w:val="20"/>
          <w:szCs w:val="20"/>
        </w:rPr>
        <w:t>,više</w:t>
      </w:r>
      <w:proofErr w:type="gramEnd"/>
      <w:r w:rsidRPr="00741F7F">
        <w:rPr>
          <w:rStyle w:val="a"/>
          <w:sz w:val="20"/>
          <w:szCs w:val="20"/>
        </w:rPr>
        <w:t xml:space="preserve"> vanjskih ratova, a ponajčešće i jednih i drugih istovremeno. Uspjesi </w:t>
      </w:r>
      <w:proofErr w:type="gramStart"/>
      <w:r w:rsidRPr="00741F7F">
        <w:rPr>
          <w:rStyle w:val="a"/>
          <w:sz w:val="20"/>
          <w:szCs w:val="20"/>
        </w:rPr>
        <w:t>na</w:t>
      </w:r>
      <w:proofErr w:type="gramEnd"/>
      <w:r w:rsidRPr="00741F7F">
        <w:rPr>
          <w:rStyle w:val="a"/>
          <w:sz w:val="20"/>
          <w:szCs w:val="20"/>
        </w:rPr>
        <w:t xml:space="preserve"> Istoku, neuspjesi na Zapadu, uznemiren Ilirik, Galije nepouzdane, Britanija pokorena i smjesta napuštena; podigla se na nas plemena Sarmata i Sveba, proslavio se svojim i našim porazima Dačanin.Umalo se na oružje ne digoše i Parti, zavedeni vještom varkom lažnoga Nerona. Italija sasvim dotučena novim nesrećama </w:t>
      </w:r>
      <w:proofErr w:type="gramStart"/>
      <w:r w:rsidRPr="00741F7F">
        <w:rPr>
          <w:rStyle w:val="a"/>
          <w:sz w:val="20"/>
          <w:szCs w:val="20"/>
        </w:rPr>
        <w:t>ili</w:t>
      </w:r>
      <w:proofErr w:type="gramEnd"/>
      <w:r w:rsidRPr="00741F7F">
        <w:rPr>
          <w:rStyle w:val="a"/>
          <w:sz w:val="20"/>
          <w:szCs w:val="20"/>
        </w:rPr>
        <w:t xml:space="preserve"> onima koje se ponoviše nakon dugog niza vjekova. Progutana ili zatrpana preplodna obala Kampanije i grad opustošen požarima u kojima su uništena najstarija svetišta, a i sam Kapitolij spaljen rukama građana</w:t>
      </w:r>
      <w:proofErr w:type="gramStart"/>
      <w:r w:rsidRPr="00741F7F">
        <w:rPr>
          <w:rStyle w:val="a"/>
          <w:sz w:val="20"/>
          <w:szCs w:val="20"/>
        </w:rPr>
        <w:t>;oskrvnjeni</w:t>
      </w:r>
      <w:proofErr w:type="gramEnd"/>
      <w:r w:rsidRPr="00741F7F">
        <w:rPr>
          <w:rStyle w:val="a"/>
          <w:sz w:val="20"/>
          <w:szCs w:val="20"/>
        </w:rPr>
        <w:t xml:space="preserve"> sveti obredi, nečuvena preljubništva, more puno prognanika, školjevi okaljani prolivenom krvlju. </w:t>
      </w:r>
      <w:proofErr w:type="gramStart"/>
      <w:r w:rsidRPr="00741F7F">
        <w:rPr>
          <w:rStyle w:val="a"/>
          <w:sz w:val="20"/>
          <w:szCs w:val="20"/>
        </w:rPr>
        <w:t>U gradu još groznije mahnitanje.</w:t>
      </w:r>
      <w:proofErr w:type="gramEnd"/>
      <w:r w:rsidRPr="00741F7F">
        <w:rPr>
          <w:rStyle w:val="a"/>
          <w:sz w:val="20"/>
          <w:szCs w:val="20"/>
        </w:rPr>
        <w:t xml:space="preserve"> </w:t>
      </w:r>
      <w:proofErr w:type="gramStart"/>
      <w:r w:rsidRPr="00741F7F">
        <w:rPr>
          <w:rStyle w:val="a"/>
          <w:sz w:val="20"/>
          <w:szCs w:val="20"/>
        </w:rPr>
        <w:t>Plemstvo, bogatstvo, počasti -i skrivane i pokazivane - krivice, a zbog vrlina -najizvjesnija smrt.</w:t>
      </w:r>
      <w:proofErr w:type="gramEnd"/>
      <w:r w:rsidRPr="00741F7F">
        <w:rPr>
          <w:rStyle w:val="a"/>
          <w:sz w:val="20"/>
          <w:szCs w:val="20"/>
        </w:rPr>
        <w:t xml:space="preserve"> </w:t>
      </w:r>
      <w:proofErr w:type="gramStart"/>
      <w:r w:rsidRPr="00741F7F">
        <w:rPr>
          <w:rStyle w:val="a"/>
          <w:sz w:val="20"/>
          <w:szCs w:val="20"/>
        </w:rPr>
        <w:t>Nagrade prokazivačima ne manje omražene negoli njihovi zločini.</w:t>
      </w:r>
      <w:proofErr w:type="gramEnd"/>
      <w:r w:rsidRPr="00741F7F">
        <w:rPr>
          <w:rStyle w:val="a"/>
          <w:sz w:val="20"/>
          <w:szCs w:val="20"/>
        </w:rPr>
        <w:t xml:space="preserve"> </w:t>
      </w:r>
      <w:proofErr w:type="gramStart"/>
      <w:r w:rsidRPr="00741F7F">
        <w:rPr>
          <w:rStyle w:val="a"/>
          <w:sz w:val="20"/>
          <w:szCs w:val="20"/>
        </w:rPr>
        <w:t>Jedni se dokopali kao plijena svećeništva i konzulata, drugi upraviteljstava i tajnog utjecaja i sve progonili i upropaštavali iz mržnje i straha.</w:t>
      </w:r>
      <w:proofErr w:type="gramEnd"/>
      <w:r w:rsidRPr="00741F7F">
        <w:rPr>
          <w:rStyle w:val="a"/>
          <w:sz w:val="20"/>
          <w:szCs w:val="20"/>
        </w:rPr>
        <w:t xml:space="preserve"> Robovi podmićeni protiv gospodara, oslobođenici protiv zaštitnika</w:t>
      </w:r>
      <w:proofErr w:type="gramStart"/>
      <w:r w:rsidRPr="00741F7F">
        <w:rPr>
          <w:rStyle w:val="a"/>
          <w:sz w:val="20"/>
          <w:szCs w:val="20"/>
        </w:rPr>
        <w:t>,napokon</w:t>
      </w:r>
      <w:proofErr w:type="gramEnd"/>
      <w:r w:rsidRPr="00741F7F">
        <w:rPr>
          <w:rStyle w:val="a"/>
          <w:sz w:val="20"/>
          <w:szCs w:val="20"/>
        </w:rPr>
        <w:t>, i one koji nisu imali neprijatelja upropastiše prijatelji.</w:t>
      </w:r>
    </w:p>
    <w:p w:rsidR="00B442A1" w:rsidRDefault="00B442A1" w:rsidP="00B442A1">
      <w:pPr>
        <w:spacing w:line="240" w:lineRule="auto"/>
        <w:rPr>
          <w:rStyle w:val="a"/>
          <w:sz w:val="20"/>
          <w:szCs w:val="20"/>
        </w:rPr>
      </w:pPr>
      <w:r w:rsidRPr="00741F7F">
        <w:rPr>
          <w:rStyle w:val="a"/>
          <w:sz w:val="20"/>
          <w:szCs w:val="20"/>
        </w:rPr>
        <w:t>3. Ne bijaše vijek ipak tako lišen vrlina da ne bi pokazao i dobrih primjera. Pratile su izbjeglu djecu majke, išle za muževima u progonstvo žene</w:t>
      </w:r>
      <w:proofErr w:type="gramStart"/>
      <w:r w:rsidRPr="00741F7F">
        <w:rPr>
          <w:rStyle w:val="a"/>
          <w:sz w:val="20"/>
          <w:szCs w:val="20"/>
        </w:rPr>
        <w:t>;smioni</w:t>
      </w:r>
      <w:proofErr w:type="gramEnd"/>
      <w:r w:rsidRPr="00741F7F">
        <w:rPr>
          <w:rStyle w:val="a"/>
          <w:sz w:val="20"/>
          <w:szCs w:val="20"/>
        </w:rPr>
        <w:t xml:space="preserve"> srodnici, postojani zetovi, nepokolebiva,čak i na mukama, vjernost robova; krajnje nevolje i smrtne opasnosti znamenitih muževa hrabro podnesene, a svršeci života dostojni proslavljenih smrti pradjedova. Pored mnogovrsnih nesreća čovječanstva kobna znamenja </w:t>
      </w:r>
      <w:proofErr w:type="gramStart"/>
      <w:r w:rsidRPr="00741F7F">
        <w:rPr>
          <w:rStyle w:val="a"/>
          <w:sz w:val="20"/>
          <w:szCs w:val="20"/>
        </w:rPr>
        <w:t>na</w:t>
      </w:r>
      <w:proofErr w:type="gramEnd"/>
      <w:r w:rsidRPr="00741F7F">
        <w:rPr>
          <w:rStyle w:val="a"/>
          <w:sz w:val="20"/>
          <w:szCs w:val="20"/>
        </w:rPr>
        <w:t xml:space="preserve"> nebu i zemlji, i opomene munja i proročanstva budućih događaja, radosna i žalosna, dvosmislena i očita. I nikad naime nije strašnijim porazima rimskog naroda i jasnijim znakovima potvrđeno da bogovima nije </w:t>
      </w:r>
      <w:proofErr w:type="gramStart"/>
      <w:r w:rsidRPr="00741F7F">
        <w:rPr>
          <w:rStyle w:val="a"/>
          <w:sz w:val="20"/>
          <w:szCs w:val="20"/>
        </w:rPr>
        <w:t>na</w:t>
      </w:r>
      <w:proofErr w:type="gramEnd"/>
      <w:r w:rsidRPr="00741F7F">
        <w:rPr>
          <w:rStyle w:val="a"/>
          <w:sz w:val="20"/>
          <w:szCs w:val="20"/>
        </w:rPr>
        <w:t> brizi naša sigurnost nego osveta.</w:t>
      </w:r>
    </w:p>
    <w:p w:rsidR="00B442A1" w:rsidRDefault="00B442A1" w:rsidP="00B442A1">
      <w:pPr>
        <w:spacing w:line="240" w:lineRule="auto"/>
        <w:rPr>
          <w:rStyle w:val="a"/>
          <w:sz w:val="20"/>
          <w:szCs w:val="20"/>
        </w:rPr>
      </w:pPr>
    </w:p>
    <w:p w:rsidR="00B442A1" w:rsidRDefault="00B442A1" w:rsidP="00B442A1">
      <w:pPr>
        <w:spacing w:line="240" w:lineRule="auto"/>
        <w:rPr>
          <w:rStyle w:val="a"/>
          <w:sz w:val="28"/>
          <w:szCs w:val="28"/>
        </w:rPr>
      </w:pPr>
      <w:r w:rsidRPr="00B442A1">
        <w:rPr>
          <w:rStyle w:val="a"/>
          <w:sz w:val="28"/>
          <w:szCs w:val="28"/>
        </w:rPr>
        <w:t>TEMA 12</w:t>
      </w:r>
    </w:p>
    <w:p w:rsidR="00744DD2" w:rsidRDefault="00744DD2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Cs/>
          <w:color w:val="333333"/>
        </w:rPr>
        <w:t>MARCIJAL I RIMSKI EPIGRAM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>- </w:t>
      </w:r>
      <w:proofErr w:type="gramStart"/>
      <w:r w:rsidRPr="00B442A1">
        <w:rPr>
          <w:rFonts w:ascii="Arial" w:eastAsia="Times New Roman" w:hAnsi="Arial" w:cs="Arial"/>
          <w:color w:val="333333"/>
        </w:rPr>
        <w:t>grč</w:t>
      </w:r>
      <w:proofErr w:type="gramEnd"/>
      <w:r w:rsidRPr="00B442A1">
        <w:rPr>
          <w:rFonts w:ascii="Arial" w:eastAsia="Times New Roman" w:hAnsi="Arial" w:cs="Arial"/>
          <w:color w:val="333333"/>
        </w:rPr>
        <w:t>. </w:t>
      </w:r>
      <w:proofErr w:type="gramStart"/>
      <w:r w:rsidRPr="00B442A1">
        <w:rPr>
          <w:rFonts w:ascii="Arial" w:eastAsia="Times New Roman" w:hAnsi="Arial" w:cs="Arial"/>
          <w:i/>
          <w:iCs/>
          <w:color w:val="333333"/>
        </w:rPr>
        <w:t>epigramma</w:t>
      </w:r>
      <w:proofErr w:type="gramEnd"/>
      <w:r w:rsidRPr="00B442A1">
        <w:rPr>
          <w:rFonts w:ascii="Arial" w:eastAsia="Times New Roman" w:hAnsi="Arial" w:cs="Arial"/>
          <w:color w:val="333333"/>
        </w:rPr>
        <w:t> (natpis); prvotno natpis u stihu na nadgrobnim pločama, zavjetnim darovima i sl. 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 xml:space="preserve">- </w:t>
      </w:r>
      <w:proofErr w:type="gramStart"/>
      <w:r w:rsidRPr="00B442A1">
        <w:rPr>
          <w:rFonts w:ascii="Arial" w:eastAsia="Times New Roman" w:hAnsi="Arial" w:cs="Arial"/>
          <w:color w:val="333333"/>
        </w:rPr>
        <w:t>u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Grčkoj je epigram vrlo rano dobio književni oblik kratke lirske pjesme najraznovrsnije tematike (didaktička, ljubavna, invektivna, pohvalna, itd.)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>- </w:t>
      </w:r>
      <w:proofErr w:type="gramStart"/>
      <w:r w:rsidRPr="00B442A1">
        <w:rPr>
          <w:rFonts w:ascii="Arial" w:eastAsia="Times New Roman" w:hAnsi="Arial" w:cs="Arial"/>
          <w:color w:val="333333"/>
        </w:rPr>
        <w:t>epigram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je izvorna i jedinstvena grčka tvorevina, čiji razvoj nije dovršen u Grčkoj, nego u Rimu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>- </w:t>
      </w:r>
      <w:proofErr w:type="gramStart"/>
      <w:r w:rsidRPr="00B442A1">
        <w:rPr>
          <w:rFonts w:ascii="Arial" w:eastAsia="Times New Roman" w:hAnsi="Arial" w:cs="Arial"/>
          <w:color w:val="333333"/>
        </w:rPr>
        <w:t>prvi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veći epigramatičar Simonid s Keja (glasoviti korski liričar, 6/5 st.pr.Kr.), čiji su epigrami još uvijek bili namijenjeni izvornoj svrsi.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 xml:space="preserve">- Marko Argentarije - Rimljanin Augustova doba koji je pisao epigrame </w:t>
      </w:r>
      <w:proofErr w:type="gramStart"/>
      <w:r w:rsidRPr="00B442A1">
        <w:rPr>
          <w:rFonts w:ascii="Arial" w:eastAsia="Times New Roman" w:hAnsi="Arial" w:cs="Arial"/>
          <w:color w:val="333333"/>
        </w:rPr>
        <w:t>na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grčkome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lastRenderedPageBreak/>
        <w:t>- Lukilije - neznatno stariji Marcijalov suvremenik i autor grčkoga rugalačkog (skoptičkog) epigrama</w:t>
      </w:r>
    </w:p>
    <w:p w:rsidR="00B442A1" w:rsidRPr="00B442A1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 xml:space="preserve">- Katul (1.st.pr.Kr.) - </w:t>
      </w:r>
      <w:proofErr w:type="gramStart"/>
      <w:r w:rsidRPr="00B442A1">
        <w:rPr>
          <w:rFonts w:ascii="Arial" w:eastAsia="Times New Roman" w:hAnsi="Arial" w:cs="Arial"/>
          <w:color w:val="333333"/>
        </w:rPr>
        <w:t>prethodnik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o kojem Marcijal govori s najviše poštovanja, ali ne i njegov izravni uzor</w:t>
      </w:r>
    </w:p>
    <w:p w:rsidR="00076C29" w:rsidRDefault="00B442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> </w:t>
      </w:r>
      <w:r w:rsidRPr="00B442A1">
        <w:rPr>
          <w:rFonts w:ascii="Arial" w:eastAsia="Times New Roman" w:hAnsi="Arial" w:cs="Arial"/>
          <w:b/>
          <w:color w:val="333333"/>
        </w:rPr>
        <w:t xml:space="preserve">Marcijal </w:t>
      </w:r>
    </w:p>
    <w:p w:rsidR="00B442A1" w:rsidRPr="00B442A1" w:rsidRDefault="00076C29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b/>
          <w:color w:val="333333"/>
        </w:rPr>
        <w:t>-</w:t>
      </w:r>
      <w:r w:rsidR="00B442A1" w:rsidRPr="00B442A1">
        <w:rPr>
          <w:rFonts w:ascii="Arial" w:eastAsia="Times New Roman" w:hAnsi="Arial" w:cs="Arial"/>
          <w:color w:val="333333"/>
        </w:rPr>
        <w:t>(</w:t>
      </w:r>
      <w:proofErr w:type="gramEnd"/>
      <w:r w:rsidR="00B442A1" w:rsidRPr="00B442A1">
        <w:rPr>
          <w:rFonts w:ascii="Arial" w:eastAsia="Times New Roman" w:hAnsi="Arial" w:cs="Arial"/>
          <w:color w:val="333333"/>
        </w:rPr>
        <w:t>Marko Valerije Marcijal – </w:t>
      </w:r>
      <w:r w:rsidR="00B442A1" w:rsidRPr="00B442A1">
        <w:rPr>
          <w:rFonts w:ascii="Arial" w:eastAsia="Times New Roman" w:hAnsi="Arial" w:cs="Arial"/>
          <w:i/>
          <w:iCs/>
          <w:color w:val="333333"/>
        </w:rPr>
        <w:t>Marcus Valerius Martialis</w:t>
      </w:r>
      <w:r w:rsidR="00B442A1" w:rsidRPr="00B442A1">
        <w:rPr>
          <w:rFonts w:ascii="Arial" w:eastAsia="Times New Roman" w:hAnsi="Arial" w:cs="Arial"/>
          <w:color w:val="333333"/>
        </w:rPr>
        <w:t xml:space="preserve">, oko 40 – 102 god.) nije tvorac ove pjesničke vrste, međutim on je utjecao </w:t>
      </w:r>
      <w:proofErr w:type="gramStart"/>
      <w:r w:rsidR="00B442A1" w:rsidRPr="00B442A1">
        <w:rPr>
          <w:rFonts w:ascii="Arial" w:eastAsia="Times New Roman" w:hAnsi="Arial" w:cs="Arial"/>
          <w:color w:val="333333"/>
        </w:rPr>
        <w:t>na</w:t>
      </w:r>
      <w:proofErr w:type="gramEnd"/>
      <w:r w:rsidR="00B442A1" w:rsidRPr="00B442A1">
        <w:rPr>
          <w:rFonts w:ascii="Arial" w:eastAsia="Times New Roman" w:hAnsi="Arial" w:cs="Arial"/>
          <w:color w:val="333333"/>
        </w:rPr>
        <w:t xml:space="preserve"> percepciju žanra u suvremenika, a i na njegovu sudbinu u novom vijeku.</w:t>
      </w:r>
    </w:p>
    <w:p w:rsidR="00B442A1" w:rsidRPr="00B442A1" w:rsidRDefault="00076C29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-</w:t>
      </w:r>
      <w:r w:rsidR="00B442A1" w:rsidRPr="00B442A1">
        <w:rPr>
          <w:rFonts w:ascii="Arial" w:eastAsia="Times New Roman" w:hAnsi="Arial" w:cs="Arial"/>
          <w:color w:val="333333"/>
        </w:rPr>
        <w:t> </w:t>
      </w:r>
      <w:proofErr w:type="gramStart"/>
      <w:r>
        <w:rPr>
          <w:rFonts w:ascii="Arial" w:eastAsia="Times New Roman" w:hAnsi="Arial" w:cs="Arial"/>
          <w:color w:val="333333"/>
        </w:rPr>
        <w:t>d</w:t>
      </w:r>
      <w:r w:rsidR="00B442A1" w:rsidRPr="00B442A1">
        <w:rPr>
          <w:rFonts w:ascii="Arial" w:eastAsia="Times New Roman" w:hAnsi="Arial" w:cs="Arial"/>
          <w:color w:val="333333"/>
        </w:rPr>
        <w:t>jela</w:t>
      </w:r>
      <w:proofErr w:type="gramEnd"/>
      <w:r w:rsidR="00B442A1" w:rsidRPr="00B442A1">
        <w:rPr>
          <w:rFonts w:ascii="Arial" w:eastAsia="Times New Roman" w:hAnsi="Arial" w:cs="Arial"/>
          <w:color w:val="333333"/>
        </w:rPr>
        <w:t>: </w:t>
      </w:r>
      <w:r w:rsidR="00B442A1" w:rsidRPr="00B442A1">
        <w:rPr>
          <w:rFonts w:ascii="Arial" w:eastAsia="Times New Roman" w:hAnsi="Arial" w:cs="Arial"/>
          <w:i/>
          <w:iCs/>
          <w:color w:val="333333"/>
        </w:rPr>
        <w:t>Liber de spectaculis</w:t>
      </w:r>
      <w:r w:rsidR="00B442A1" w:rsidRPr="00B442A1">
        <w:rPr>
          <w:rFonts w:ascii="Arial" w:eastAsia="Times New Roman" w:hAnsi="Arial" w:cs="Arial"/>
          <w:color w:val="333333"/>
        </w:rPr>
        <w:t> </w:t>
      </w:r>
      <w:r w:rsidR="00744DD2">
        <w:rPr>
          <w:rFonts w:ascii="Arial" w:eastAsia="Times New Roman" w:hAnsi="Arial" w:cs="Arial"/>
          <w:color w:val="333333"/>
        </w:rPr>
        <w:t xml:space="preserve">, </w:t>
      </w:r>
      <w:r w:rsidR="00B442A1" w:rsidRPr="00B442A1">
        <w:rPr>
          <w:rFonts w:ascii="Arial" w:eastAsia="Times New Roman" w:hAnsi="Arial" w:cs="Arial"/>
          <w:i/>
          <w:iCs/>
          <w:color w:val="333333"/>
        </w:rPr>
        <w:t>Xenia</w:t>
      </w:r>
      <w:r w:rsidR="00744DD2">
        <w:rPr>
          <w:rFonts w:ascii="Arial" w:eastAsia="Times New Roman" w:hAnsi="Arial" w:cs="Arial"/>
          <w:color w:val="333333"/>
        </w:rPr>
        <w:t xml:space="preserve">, </w:t>
      </w:r>
      <w:r w:rsidR="00B442A1" w:rsidRPr="00B442A1">
        <w:rPr>
          <w:rFonts w:ascii="Arial" w:eastAsia="Times New Roman" w:hAnsi="Arial" w:cs="Arial"/>
          <w:i/>
          <w:iCs/>
          <w:color w:val="333333"/>
        </w:rPr>
        <w:t>Apophoret</w:t>
      </w:r>
      <w:r>
        <w:rPr>
          <w:rFonts w:ascii="Arial" w:eastAsia="Times New Roman" w:hAnsi="Arial" w:cs="Arial"/>
          <w:i/>
          <w:iCs/>
          <w:color w:val="333333"/>
        </w:rPr>
        <w:t xml:space="preserve"> </w:t>
      </w:r>
      <w:r w:rsidR="00B442A1" w:rsidRPr="00B442A1">
        <w:rPr>
          <w:rFonts w:ascii="Arial" w:eastAsia="Times New Roman" w:hAnsi="Arial" w:cs="Arial"/>
          <w:color w:val="333333"/>
        </w:rPr>
        <w:t> i još dvanaest knjiga epigrama bez posebnog naslova (</w:t>
      </w:r>
      <w:r w:rsidR="00B442A1" w:rsidRPr="00B442A1">
        <w:rPr>
          <w:rFonts w:ascii="Arial" w:eastAsia="Times New Roman" w:hAnsi="Arial" w:cs="Arial"/>
          <w:i/>
          <w:iCs/>
          <w:color w:val="333333"/>
        </w:rPr>
        <w:t>Epigrammata</w:t>
      </w:r>
      <w:r w:rsidR="00B442A1" w:rsidRPr="00B442A1">
        <w:rPr>
          <w:rFonts w:ascii="Arial" w:eastAsia="Times New Roman" w:hAnsi="Arial" w:cs="Arial"/>
          <w:color w:val="333333"/>
        </w:rPr>
        <w:t>).</w:t>
      </w:r>
    </w:p>
    <w:p w:rsidR="00B442A1" w:rsidRPr="00B442A1" w:rsidRDefault="00CB0BA1" w:rsidP="00B442A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--k</w:t>
      </w:r>
      <w:r w:rsidR="00B442A1" w:rsidRPr="00B442A1">
        <w:rPr>
          <w:rFonts w:ascii="Arial" w:eastAsia="Times New Roman" w:hAnsi="Arial" w:cs="Arial"/>
          <w:color w:val="333333"/>
        </w:rPr>
        <w:t>arakteristike Marcijalovih epigrama:</w:t>
      </w:r>
    </w:p>
    <w:p w:rsidR="00B442A1" w:rsidRPr="00B442A1" w:rsidRDefault="00076C29" w:rsidP="00B442A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-t</w:t>
      </w:r>
      <w:r w:rsidR="00B442A1" w:rsidRPr="00B442A1">
        <w:rPr>
          <w:rFonts w:ascii="Arial" w:eastAsia="Times New Roman" w:hAnsi="Arial" w:cs="Arial"/>
          <w:color w:val="333333"/>
        </w:rPr>
        <w:t xml:space="preserve">rodjelna struktura: uvod </w:t>
      </w:r>
      <w:proofErr w:type="gramStart"/>
      <w:r w:rsidR="00B442A1" w:rsidRPr="00B442A1">
        <w:rPr>
          <w:rFonts w:ascii="Arial" w:eastAsia="Times New Roman" w:hAnsi="Arial" w:cs="Arial"/>
          <w:color w:val="333333"/>
        </w:rPr>
        <w:t>ili</w:t>
      </w:r>
      <w:proofErr w:type="gramEnd"/>
      <w:r w:rsidR="00B442A1" w:rsidRPr="00B442A1">
        <w:rPr>
          <w:rFonts w:ascii="Arial" w:eastAsia="Times New Roman" w:hAnsi="Arial" w:cs="Arial"/>
          <w:color w:val="333333"/>
        </w:rPr>
        <w:t xml:space="preserve"> čvrsta formula; usporavanje, poenta</w:t>
      </w:r>
    </w:p>
    <w:p w:rsidR="00B442A1" w:rsidRPr="00B442A1" w:rsidRDefault="00076C29" w:rsidP="00B442A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-k</w:t>
      </w:r>
      <w:r w:rsidR="00B442A1" w:rsidRPr="00B442A1">
        <w:rPr>
          <w:rFonts w:ascii="Arial" w:eastAsia="Times New Roman" w:hAnsi="Arial" w:cs="Arial"/>
          <w:color w:val="333333"/>
        </w:rPr>
        <w:t>arakteristike: kratkoća, sažetost, efekt začudnosti, poenta</w:t>
      </w:r>
    </w:p>
    <w:p w:rsidR="00B442A1" w:rsidRPr="00B442A1" w:rsidRDefault="00076C29" w:rsidP="00B442A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-</w:t>
      </w:r>
      <w:proofErr w:type="gramStart"/>
      <w:r>
        <w:rPr>
          <w:rFonts w:ascii="Arial" w:eastAsia="Times New Roman" w:hAnsi="Arial" w:cs="Arial"/>
          <w:color w:val="333333"/>
        </w:rPr>
        <w:t>d</w:t>
      </w:r>
      <w:r w:rsidR="00B442A1" w:rsidRPr="00B442A1">
        <w:rPr>
          <w:rFonts w:ascii="Arial" w:eastAsia="Times New Roman" w:hAnsi="Arial" w:cs="Arial"/>
          <w:color w:val="333333"/>
        </w:rPr>
        <w:t>ijaloška</w:t>
      </w:r>
      <w:proofErr w:type="gramEnd"/>
      <w:r w:rsidR="00B442A1" w:rsidRPr="00B442A1">
        <w:rPr>
          <w:rFonts w:ascii="Arial" w:eastAsia="Times New Roman" w:hAnsi="Arial" w:cs="Arial"/>
          <w:color w:val="333333"/>
        </w:rPr>
        <w:t xml:space="preserve"> razina – dva komunikacijska akta (unutar epigrama; izvan epigrama; pošiljalac poruke isti – miješanje realnosti i fikcije – poznato iz stare atičke komedije</w:t>
      </w:r>
    </w:p>
    <w:p w:rsidR="00076C29" w:rsidRDefault="00B442A1" w:rsidP="00076C29">
      <w:pPr>
        <w:shd w:val="clear" w:color="auto" w:fill="FFFFFF"/>
        <w:spacing w:after="150" w:line="315" w:lineRule="atLeast"/>
        <w:ind w:left="720" w:hanging="360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 xml:space="preserve">- </w:t>
      </w:r>
      <w:proofErr w:type="gramStart"/>
      <w:r w:rsidRPr="00B442A1">
        <w:rPr>
          <w:rFonts w:ascii="Arial" w:eastAsia="Times New Roman" w:hAnsi="Arial" w:cs="Arial"/>
          <w:color w:val="333333"/>
        </w:rPr>
        <w:t>pis</w:t>
      </w:r>
      <w:r w:rsidR="00076C29">
        <w:rPr>
          <w:rFonts w:ascii="Arial" w:eastAsia="Times New Roman" w:hAnsi="Arial" w:cs="Arial"/>
          <w:color w:val="333333"/>
        </w:rPr>
        <w:t>ac</w:t>
      </w:r>
      <w:proofErr w:type="gramEnd"/>
      <w:r w:rsidR="00076C29">
        <w:rPr>
          <w:rFonts w:ascii="Arial" w:eastAsia="Times New Roman" w:hAnsi="Arial" w:cs="Arial"/>
          <w:color w:val="333333"/>
        </w:rPr>
        <w:t xml:space="preserve"> se i direktno obraća publici</w:t>
      </w:r>
    </w:p>
    <w:p w:rsidR="00B442A1" w:rsidRPr="00B442A1" w:rsidRDefault="00B442A1" w:rsidP="00076C29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  <w:r w:rsidRPr="00B442A1">
        <w:rPr>
          <w:rFonts w:ascii="Arial" w:eastAsia="Times New Roman" w:hAnsi="Arial" w:cs="Arial"/>
          <w:color w:val="333333"/>
        </w:rPr>
        <w:t>- </w:t>
      </w:r>
      <w:proofErr w:type="gramStart"/>
      <w:r w:rsidRPr="00B442A1">
        <w:rPr>
          <w:rFonts w:ascii="Arial" w:eastAsia="Times New Roman" w:hAnsi="Arial" w:cs="Arial"/>
          <w:color w:val="333333"/>
        </w:rPr>
        <w:t>većina</w:t>
      </w:r>
      <w:proofErr w:type="gramEnd"/>
      <w:r w:rsidRPr="00B442A1">
        <w:rPr>
          <w:rFonts w:ascii="Arial" w:eastAsia="Times New Roman" w:hAnsi="Arial" w:cs="Arial"/>
          <w:color w:val="333333"/>
        </w:rPr>
        <w:t xml:space="preserve"> epigrama je pisana u elegijskom distihu, zatim u falečkom jedanaestercu, povremeno se javljaju holijambi, tri jampske epode.</w:t>
      </w:r>
    </w:p>
    <w:p w:rsidR="00CB0BA1" w:rsidRDefault="00CB0BA1" w:rsidP="00CB0BA1">
      <w:pPr>
        <w:rPr>
          <w:b/>
        </w:rPr>
      </w:pPr>
    </w:p>
    <w:p w:rsidR="00CB0BA1" w:rsidRPr="00CB0BA1" w:rsidRDefault="00CB0BA1" w:rsidP="00CB0BA1">
      <w:pPr>
        <w:shd w:val="clear" w:color="auto" w:fill="FFFFFF"/>
        <w:spacing w:after="150" w:line="42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B0BA1">
        <w:rPr>
          <w:rFonts w:ascii="Arial" w:eastAsia="Times New Roman" w:hAnsi="Arial" w:cs="Arial"/>
          <w:b/>
          <w:color w:val="333333"/>
          <w:sz w:val="24"/>
          <w:szCs w:val="24"/>
        </w:rPr>
        <w:t>Skoptički epigram</w:t>
      </w:r>
      <w:r w:rsidR="00744DD2" w:rsidRPr="00744DD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prezentacija:</w:t>
      </w:r>
    </w:p>
    <w:p w:rsidR="00CB0BA1" w:rsidRPr="00744DD2" w:rsidRDefault="00CB0BA1" w:rsidP="00644838">
      <w:pPr>
        <w:pStyle w:val="ListParagraph"/>
        <w:numPr>
          <w:ilvl w:val="0"/>
          <w:numId w:val="10"/>
        </w:num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</w:rPr>
      </w:pPr>
      <w:r w:rsidRPr="00744DD2">
        <w:rPr>
          <w:rFonts w:ascii="Arial" w:eastAsia="Times New Roman" w:hAnsi="Arial" w:cs="Arial"/>
          <w:color w:val="333333"/>
        </w:rPr>
        <w:t>izrugivanje u osnovi, komika, smiješno</w:t>
      </w:r>
    </w:p>
    <w:p w:rsidR="00CB0BA1" w:rsidRPr="00744DD2" w:rsidRDefault="00CB0BA1" w:rsidP="00644838">
      <w:pPr>
        <w:pStyle w:val="ListParagraph"/>
        <w:numPr>
          <w:ilvl w:val="0"/>
          <w:numId w:val="10"/>
        </w:num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</w:rPr>
      </w:pPr>
      <w:r w:rsidRPr="00744DD2">
        <w:rPr>
          <w:rFonts w:ascii="Arial" w:eastAsia="Times New Roman" w:hAnsi="Arial" w:cs="Arial"/>
          <w:color w:val="333333"/>
        </w:rPr>
        <w:t>ismijavanje raznih tipova ljudi, moralnih i tjelesnih mana, određenih pojava iz društvenog i privatnog života</w:t>
      </w:r>
    </w:p>
    <w:p w:rsidR="00B442A1" w:rsidRPr="00744DD2" w:rsidRDefault="00644838" w:rsidP="00B442A1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</w:rPr>
        <w:t>Humor u antici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“Filogel” – “Ljubitelj smijeha” – zbirka nastala vjerojatno u 4. st. (s mnogo različitih slojeva) – pripisuje se Hijeroklu i Filagriju – proširili zbir</w:t>
      </w:r>
      <w:r w:rsidRPr="00744DD2">
        <w:rPr>
          <w:sz w:val="24"/>
          <w:szCs w:val="24"/>
          <w:lang w:val="hr-HR"/>
        </w:rPr>
        <w:t>ku koju je sastavio mimograf Filistion – 263 vica napisana na starogrčkom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- vicevi podijeljeni na nekoliko skupina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a) 103 vica – skholastikós – pametnjaković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 xml:space="preserve">b) karakterne osobine 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c) pripadnost gradu</w:t>
      </w:r>
    </w:p>
    <w:p w:rsidR="00000000" w:rsidRPr="00744DD2" w:rsidRDefault="00744DD2" w:rsidP="00644838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lastRenderedPageBreak/>
        <w:t xml:space="preserve">d) tjelesne i duhovne osobine </w:t>
      </w:r>
    </w:p>
    <w:p w:rsidR="00644838" w:rsidRPr="00744DD2" w:rsidRDefault="00644838" w:rsidP="00B442A1">
      <w:pPr>
        <w:spacing w:line="240" w:lineRule="auto"/>
        <w:rPr>
          <w:sz w:val="24"/>
          <w:szCs w:val="24"/>
        </w:rPr>
      </w:pPr>
      <w:proofErr w:type="gramStart"/>
      <w:r w:rsidRPr="00744DD2">
        <w:rPr>
          <w:sz w:val="24"/>
          <w:szCs w:val="24"/>
        </w:rPr>
        <w:t>Književna obrada.</w:t>
      </w:r>
      <w:proofErr w:type="gramEnd"/>
      <w:r w:rsidRPr="00744DD2">
        <w:rPr>
          <w:sz w:val="24"/>
          <w:szCs w:val="24"/>
        </w:rPr>
        <w:t xml:space="preserve"> </w:t>
      </w:r>
      <w:proofErr w:type="gramStart"/>
      <w:r w:rsidRPr="00744DD2">
        <w:rPr>
          <w:sz w:val="24"/>
          <w:szCs w:val="24"/>
        </w:rPr>
        <w:t>skopički</w:t>
      </w:r>
      <w:proofErr w:type="gramEnd"/>
      <w:r w:rsidRPr="00744DD2">
        <w:rPr>
          <w:sz w:val="24"/>
          <w:szCs w:val="24"/>
        </w:rPr>
        <w:t xml:space="preserve"> epigram</w:t>
      </w:r>
    </w:p>
    <w:p w:rsidR="00644838" w:rsidRPr="00744DD2" w:rsidRDefault="00644838" w:rsidP="006448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744DD2">
        <w:rPr>
          <w:b/>
          <w:bCs/>
          <w:i/>
          <w:iCs/>
          <w:sz w:val="24"/>
          <w:szCs w:val="24"/>
          <w:lang w:val="hr-HR"/>
        </w:rPr>
        <w:t xml:space="preserve">Marcus Valerius Martialis </w:t>
      </w:r>
      <w:r w:rsidRPr="00744DD2">
        <w:rPr>
          <w:sz w:val="24"/>
          <w:szCs w:val="24"/>
          <w:lang w:val="hr-HR"/>
        </w:rPr>
        <w:t>(38./40.- 102./104. n.e.)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Sve je Likorida već sahranila znanice svoje.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Sretan bio bih muž moju da suprugu zna.  (IV,24)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Vješto Dazije broji kupače: od sisate one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ab/>
        <w:t>karte je tražio tri. Mirno je platila sve!  (II,52)</w:t>
      </w:r>
    </w:p>
    <w:p w:rsidR="00644838" w:rsidRPr="00744DD2" w:rsidRDefault="00644838" w:rsidP="0064483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744DD2">
        <w:rPr>
          <w:b/>
          <w:bCs/>
          <w:i/>
          <w:iCs/>
          <w:sz w:val="24"/>
          <w:szCs w:val="24"/>
          <w:lang w:val="hr-HR"/>
        </w:rPr>
        <w:t xml:space="preserve">Raymundus Cunichius </w:t>
      </w:r>
      <w:r w:rsidRPr="00744DD2">
        <w:rPr>
          <w:sz w:val="24"/>
          <w:szCs w:val="24"/>
          <w:lang w:val="hr-HR"/>
        </w:rPr>
        <w:t>(Dubrovnik, 1719. – Rim, 1794.)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Nitko ne uzima ženu bez miraza. Pitaš me zašto.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ab/>
        <w:t>Nitko jer nije lud mukte da uzima zlo. (XXVII)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Napokon našli smo dijel od cjeline veći, jer veća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ab/>
        <w:t>Negoli Hermokrat cijel njegova grba je baš. (XIII)</w:t>
      </w:r>
    </w:p>
    <w:p w:rsidR="00744DD2" w:rsidRDefault="00744DD2" w:rsidP="00B442A1">
      <w:pPr>
        <w:spacing w:line="240" w:lineRule="auto"/>
        <w:rPr>
          <w:sz w:val="24"/>
          <w:szCs w:val="24"/>
        </w:rPr>
      </w:pPr>
    </w:p>
    <w:p w:rsidR="00644838" w:rsidRPr="00744DD2" w:rsidRDefault="00644838" w:rsidP="00B442A1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</w:rPr>
        <w:t>Vic i skopički epigram</w:t>
      </w:r>
    </w:p>
    <w:p w:rsidR="00644838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 xml:space="preserve">Sličnosti: </w:t>
      </w:r>
    </w:p>
    <w:p w:rsidR="00000000" w:rsidRPr="00744DD2" w:rsidRDefault="00744DD2" w:rsidP="0064483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sad</w:t>
      </w:r>
      <w:r w:rsidRPr="00744DD2">
        <w:rPr>
          <w:sz w:val="24"/>
          <w:szCs w:val="24"/>
          <w:lang w:val="hr-HR"/>
        </w:rPr>
        <w:t>ržaj</w:t>
      </w:r>
    </w:p>
    <w:p w:rsidR="00000000" w:rsidRPr="00744DD2" w:rsidRDefault="00744DD2" w:rsidP="0064483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struktura (trodjelna)</w:t>
      </w:r>
    </w:p>
    <w:p w:rsidR="00000000" w:rsidRPr="00744DD2" w:rsidRDefault="00744DD2" w:rsidP="0064483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dijaloška forma</w:t>
      </w:r>
    </w:p>
    <w:p w:rsidR="00000000" w:rsidRPr="00744DD2" w:rsidRDefault="00744DD2" w:rsidP="00644838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neizravna formuliranost poente</w:t>
      </w:r>
    </w:p>
    <w:p w:rsidR="00000000" w:rsidRPr="00744DD2" w:rsidRDefault="00644838" w:rsidP="00644838">
      <w:p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 xml:space="preserve">-  u </w:t>
      </w:r>
      <w:r w:rsidR="00744DD2" w:rsidRPr="00744DD2">
        <w:rPr>
          <w:sz w:val="24"/>
          <w:szCs w:val="24"/>
          <w:lang w:val="hr-HR"/>
        </w:rPr>
        <w:t xml:space="preserve">životu u širokoj skali mogućnosti </w:t>
      </w:r>
    </w:p>
    <w:p w:rsidR="00000000" w:rsidRPr="00744DD2" w:rsidRDefault="00644838" w:rsidP="00644838">
      <w:pPr>
        <w:spacing w:line="240" w:lineRule="auto"/>
        <w:ind w:left="360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k</w:t>
      </w:r>
      <w:r w:rsidR="00744DD2" w:rsidRPr="00744DD2">
        <w:rPr>
          <w:sz w:val="24"/>
          <w:szCs w:val="24"/>
          <w:lang w:val="hr-HR"/>
        </w:rPr>
        <w:t>omično – dan tip ostvarenja smiješnog u dimenziji umjetničkog doživljaja</w:t>
      </w:r>
    </w:p>
    <w:p w:rsidR="00000000" w:rsidRPr="00744DD2" w:rsidRDefault="00644838" w:rsidP="00644838">
      <w:pPr>
        <w:spacing w:line="240" w:lineRule="auto"/>
        <w:ind w:left="360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k</w:t>
      </w:r>
      <w:r w:rsidR="00744DD2" w:rsidRPr="00744DD2">
        <w:rPr>
          <w:sz w:val="24"/>
          <w:szCs w:val="24"/>
          <w:lang w:val="hr-HR"/>
        </w:rPr>
        <w:t>omika svakodnevice – narušavanje nekog poretka koje predstavlja d</w:t>
      </w:r>
      <w:r w:rsidR="00744DD2" w:rsidRPr="00744DD2">
        <w:rPr>
          <w:sz w:val="24"/>
          <w:szCs w:val="24"/>
          <w:lang w:val="hr-HR"/>
        </w:rPr>
        <w:t>io svakodnevnog života</w:t>
      </w:r>
    </w:p>
    <w:p w:rsidR="00000000" w:rsidRPr="00744DD2" w:rsidRDefault="00644838" w:rsidP="00644838">
      <w:pPr>
        <w:spacing w:line="240" w:lineRule="auto"/>
        <w:ind w:left="360"/>
        <w:rPr>
          <w:sz w:val="24"/>
          <w:szCs w:val="24"/>
          <w:lang w:val="hr-HR"/>
        </w:rPr>
      </w:pPr>
      <w:r w:rsidRPr="00744DD2">
        <w:rPr>
          <w:sz w:val="24"/>
          <w:szCs w:val="24"/>
          <w:lang w:val="hr-HR"/>
        </w:rPr>
        <w:t>s</w:t>
      </w:r>
      <w:r w:rsidR="00744DD2" w:rsidRPr="00744DD2">
        <w:rPr>
          <w:sz w:val="24"/>
          <w:szCs w:val="24"/>
          <w:lang w:val="hr-HR"/>
        </w:rPr>
        <w:t xml:space="preserve">miješno – sve što izaziva smijeh i pojavljuje se u </w:t>
      </w:r>
    </w:p>
    <w:p w:rsidR="00644838" w:rsidRPr="00744DD2" w:rsidRDefault="00644838" w:rsidP="00644838">
      <w:pPr>
        <w:spacing w:line="240" w:lineRule="auto"/>
        <w:rPr>
          <w:sz w:val="24"/>
          <w:szCs w:val="24"/>
          <w:lang w:val="hr-HR"/>
        </w:rPr>
      </w:pPr>
      <w:r w:rsidRPr="00744DD2">
        <w:rPr>
          <w:sz w:val="24"/>
          <w:szCs w:val="24"/>
          <w:lang w:val="hr-HR"/>
        </w:rPr>
        <w:t>-teorija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Izgubljena djela: Aristotel i Teofrast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Predsokratovci  - osuđuju smijeh uperen protiv nesretnika (reakcija na “homerski svijet bogova”)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lastRenderedPageBreak/>
        <w:t xml:space="preserve">Aristotel  </w:t>
      </w:r>
      <w:r w:rsidRPr="00744DD2">
        <w:rPr>
          <w:sz w:val="24"/>
          <w:szCs w:val="24"/>
          <w:lang w:val="hr-HR"/>
        </w:rPr>
        <w:t>- smijeh je poticaj duhu i izaziva sretno raspoloženje i dobrohotnost – sudjelovanje drugih u tom sretnom raspoloženje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kritizira invektivu i prostački govor iz stare komedije Aristofanova tipa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 xml:space="preserve">Ciceron – osuđuje invektivu, za humor je potreban </w:t>
      </w:r>
      <w:r w:rsidRPr="00744DD2">
        <w:rPr>
          <w:i/>
          <w:iCs/>
          <w:sz w:val="24"/>
          <w:szCs w:val="24"/>
          <w:lang w:val="hr-HR"/>
        </w:rPr>
        <w:t>ingenium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G</w:t>
      </w:r>
      <w:r w:rsidRPr="00744DD2">
        <w:rPr>
          <w:sz w:val="24"/>
          <w:szCs w:val="24"/>
          <w:lang w:val="hr-HR"/>
        </w:rPr>
        <w:t>ovornika treba poučiti što ne treba činiti, odnosno kako se ne treba ismijavati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Kvintilijan – odvaja “prikladan” od “neprikladna” smijeha</w:t>
      </w:r>
    </w:p>
    <w:p w:rsidR="00000000" w:rsidRPr="00744DD2" w:rsidRDefault="00744DD2" w:rsidP="00644838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44DD2">
        <w:rPr>
          <w:sz w:val="24"/>
          <w:szCs w:val="24"/>
          <w:lang w:val="hr-HR"/>
        </w:rPr>
        <w:t>Nesuglasje između teorije i prakse</w:t>
      </w:r>
    </w:p>
    <w:p w:rsidR="00644838" w:rsidRPr="00744DD2" w:rsidRDefault="00744DD2" w:rsidP="00644838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744DD2">
        <w:rPr>
          <w:b/>
          <w:bCs/>
          <w:sz w:val="24"/>
          <w:szCs w:val="24"/>
          <w:lang w:val="hr-HR"/>
        </w:rPr>
        <w:t>Osnovni zahtjev: bezbolnost ismijavanja - neodrživ</w:t>
      </w:r>
    </w:p>
    <w:p w:rsidR="00744DD2" w:rsidRDefault="00744DD2" w:rsidP="00644838">
      <w:pPr>
        <w:spacing w:line="240" w:lineRule="auto"/>
        <w:rPr>
          <w:sz w:val="28"/>
          <w:szCs w:val="28"/>
        </w:rPr>
      </w:pPr>
    </w:p>
    <w:p w:rsidR="00644838" w:rsidRDefault="00644838" w:rsidP="0064483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Treba li nam još filologija?</w:t>
      </w:r>
      <w:proofErr w:type="gramEnd"/>
    </w:p>
    <w:p w:rsidR="00644838" w:rsidRPr="00644838" w:rsidRDefault="00644838" w:rsidP="00644838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Nervozna uznemirenost našeg suvremenog svijeta, njegova obuzetost samim sobom i prezentnim problemima, koji se neprestano obnavljaju, rastu i gomilaju, nesumnjivo je antiku i antičku civilizaciju u cjelini gurnula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na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margine društvenog interesa; a kad je riječ o nama i našem društvu, antika je i na marginama društvene svijesti. I doista, što može biti marginalnije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od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jednog davno prohujalog svijeta, nadiđenog i djelomično nespoznatog, svijeta doslovno u ruševinama, čiji nam ostaci - bar na prvi pogled - uopće ne pomažu da pronađemo odgovore na pitanja što nam ih tako intenzivno postavlja naša sadašnjost? Ali, odnos bi se mogao - ne samo iz težnje da se izvede retorički paradoks - postaviti i sasvim drugačije: premda to zvuči odviše evropocentrično (no za nas je svakako točno), moglo bi se - u određenoj perspektivi - reći da je cijela naša evropska ("zapadna"?) civilizacija izrasla zapravo na marginama antike, jer je gotovo sva svoja dostignuća i spoznaje nadograđivala na jezgro koje su oblikovali Grci i Rimljani. Na taj način mi bismo se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sami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našli na marginama, s kojih više i ne nastojimo prići bliže središtu</w:t>
      </w: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Default="00744DD2" w:rsidP="00744DD2">
      <w:pPr>
        <w:rPr>
          <w:b/>
          <w:sz w:val="20"/>
          <w:szCs w:val="20"/>
        </w:rPr>
      </w:pPr>
    </w:p>
    <w:p w:rsidR="00744DD2" w:rsidRPr="00744DD2" w:rsidRDefault="00744DD2" w:rsidP="00744DD2">
      <w:pPr>
        <w:rPr>
          <w:b/>
          <w:sz w:val="20"/>
          <w:szCs w:val="20"/>
        </w:rPr>
      </w:pPr>
      <w:r w:rsidRPr="00744DD2">
        <w:rPr>
          <w:b/>
          <w:sz w:val="20"/>
          <w:szCs w:val="20"/>
        </w:rPr>
        <w:lastRenderedPageBreak/>
        <w:t>MARCIJAL I RIMSKI EPIGRAM</w:t>
      </w:r>
    </w:p>
    <w:p w:rsidR="00744DD2" w:rsidRPr="00744DD2" w:rsidRDefault="00744DD2" w:rsidP="00744DD2">
      <w:pPr>
        <w:rPr>
          <w:b/>
          <w:sz w:val="20"/>
          <w:szCs w:val="20"/>
        </w:rPr>
        <w:sectPr w:rsidR="00744DD2" w:rsidRPr="00744DD2" w:rsidSect="00FE3E8C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Hic </w:t>
      </w:r>
      <w:proofErr w:type="gramStart"/>
      <w:r w:rsidRPr="00744DD2">
        <w:rPr>
          <w:sz w:val="20"/>
          <w:szCs w:val="20"/>
        </w:rPr>
        <w:t>est</w:t>
      </w:r>
      <w:proofErr w:type="gramEnd"/>
      <w:r w:rsidRPr="00744DD2">
        <w:rPr>
          <w:sz w:val="20"/>
          <w:szCs w:val="20"/>
        </w:rPr>
        <w:t xml:space="preserve"> quem legis ille, quem requiris,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toto</w:t>
      </w:r>
      <w:proofErr w:type="gramEnd"/>
      <w:r w:rsidRPr="00744DD2">
        <w:rPr>
          <w:sz w:val="20"/>
          <w:szCs w:val="20"/>
        </w:rPr>
        <w:t xml:space="preserve"> notus in orbe Martialis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argutis</w:t>
      </w:r>
      <w:proofErr w:type="gramEnd"/>
      <w:r w:rsidRPr="00744DD2">
        <w:rPr>
          <w:sz w:val="20"/>
          <w:szCs w:val="20"/>
        </w:rPr>
        <w:t xml:space="preserve"> epigrammaton libellis: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cui</w:t>
      </w:r>
      <w:proofErr w:type="gramEnd"/>
      <w:r w:rsidRPr="00744DD2">
        <w:rPr>
          <w:sz w:val="20"/>
          <w:szCs w:val="20"/>
        </w:rPr>
        <w:t xml:space="preserve">, lector studiose, quod dedisti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viventi</w:t>
      </w:r>
      <w:proofErr w:type="gramEnd"/>
      <w:r w:rsidRPr="00744DD2">
        <w:rPr>
          <w:sz w:val="20"/>
          <w:szCs w:val="20"/>
        </w:rPr>
        <w:t xml:space="preserve"> decus atque sentienti,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rari</w:t>
      </w:r>
      <w:proofErr w:type="gramEnd"/>
      <w:r w:rsidRPr="00744DD2">
        <w:rPr>
          <w:sz w:val="20"/>
          <w:szCs w:val="20"/>
        </w:rPr>
        <w:t xml:space="preserve"> post cineres habent poetae. </w:t>
      </w:r>
    </w:p>
    <w:p w:rsidR="00744DD2" w:rsidRPr="00744DD2" w:rsidRDefault="00744DD2" w:rsidP="00744DD2">
      <w:pPr>
        <w:rPr>
          <w:sz w:val="20"/>
          <w:szCs w:val="20"/>
        </w:rPr>
      </w:pP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>To je onaj kog čitaš, kojeg tražiš,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poznat</w:t>
      </w:r>
      <w:proofErr w:type="gramEnd"/>
      <w:r w:rsidRPr="00744DD2">
        <w:rPr>
          <w:sz w:val="20"/>
          <w:szCs w:val="20"/>
        </w:rPr>
        <w:t xml:space="preserve"> posvud po svijetu već Marcijal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po</w:t>
      </w:r>
      <w:proofErr w:type="gramEnd"/>
      <w:r w:rsidRPr="00744DD2">
        <w:rPr>
          <w:sz w:val="20"/>
          <w:szCs w:val="20"/>
        </w:rPr>
        <w:t xml:space="preserve"> epigramu britkom, punom duha.</w:t>
      </w: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t xml:space="preserve">Njemu dao si, revni čitaoče,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slavu</w:t>
      </w:r>
      <w:proofErr w:type="gramEnd"/>
      <w:r w:rsidRPr="00744DD2">
        <w:rPr>
          <w:sz w:val="20"/>
          <w:szCs w:val="20"/>
        </w:rPr>
        <w:t xml:space="preserve"> još za života kakvu steknu</w:t>
      </w:r>
    </w:p>
    <w:p w:rsidR="00744DD2" w:rsidRPr="00744DD2" w:rsidRDefault="00744DD2" w:rsidP="00744DD2">
      <w:pPr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proofErr w:type="gramStart"/>
      <w:r w:rsidRPr="00744DD2">
        <w:rPr>
          <w:sz w:val="20"/>
          <w:szCs w:val="20"/>
        </w:rPr>
        <w:t>rijetki</w:t>
      </w:r>
      <w:proofErr w:type="gramEnd"/>
      <w:r w:rsidRPr="00744DD2">
        <w:rPr>
          <w:sz w:val="20"/>
          <w:szCs w:val="20"/>
        </w:rPr>
        <w:t xml:space="preserve"> pjesnici čak i poslije smrti!</w:t>
      </w: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Sunt bona, sunt quaedam mediocria, sunt mala </w:t>
      </w:r>
      <w:proofErr w:type="gramStart"/>
      <w:r w:rsidRPr="00744DD2">
        <w:rPr>
          <w:sz w:val="20"/>
          <w:szCs w:val="20"/>
        </w:rPr>
        <w:t>plura  quae</w:t>
      </w:r>
      <w:proofErr w:type="gramEnd"/>
      <w:r w:rsidRPr="00744DD2">
        <w:rPr>
          <w:sz w:val="20"/>
          <w:szCs w:val="20"/>
        </w:rPr>
        <w:t xml:space="preserve"> legis hic: aliter non fit, Avite, liber. </w:t>
      </w:r>
    </w:p>
    <w:p w:rsidR="00744DD2" w:rsidRPr="00744DD2" w:rsidRDefault="00744DD2" w:rsidP="00744DD2">
      <w:p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lastRenderedPageBreak/>
        <w:t>Ima epigrama dobrih i osrednjih, Avite, ovdje.</w:t>
      </w:r>
      <w:proofErr w:type="gramEnd"/>
    </w:p>
    <w:p w:rsidR="00744DD2" w:rsidRPr="00744DD2" w:rsidRDefault="00744DD2" w:rsidP="00744DD2">
      <w:pPr>
        <w:ind w:right="-248"/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num="2" w:space="567"/>
          <w:docGrid w:linePitch="360"/>
        </w:sectPr>
      </w:pPr>
      <w:r w:rsidRPr="00744DD2">
        <w:rPr>
          <w:sz w:val="20"/>
          <w:szCs w:val="20"/>
        </w:rPr>
        <w:t xml:space="preserve">     </w:t>
      </w:r>
      <w:proofErr w:type="gramStart"/>
      <w:r w:rsidRPr="00744DD2">
        <w:rPr>
          <w:sz w:val="20"/>
          <w:szCs w:val="20"/>
        </w:rPr>
        <w:t>Loših je više, znam.</w:t>
      </w:r>
      <w:proofErr w:type="gramEnd"/>
      <w:r w:rsidRPr="00744DD2">
        <w:rPr>
          <w:sz w:val="20"/>
          <w:szCs w:val="20"/>
        </w:rPr>
        <w:t xml:space="preserve"> </w:t>
      </w:r>
      <w:proofErr w:type="gramStart"/>
      <w:r w:rsidRPr="00744DD2">
        <w:rPr>
          <w:sz w:val="20"/>
          <w:szCs w:val="20"/>
        </w:rPr>
        <w:t>Knjigama takva je kob.</w:t>
      </w:r>
      <w:proofErr w:type="gramEnd"/>
      <w:r w:rsidRPr="00744DD2">
        <w:rPr>
          <w:sz w:val="20"/>
          <w:szCs w:val="20"/>
        </w:rPr>
        <w:t xml:space="preserve"> </w:t>
      </w:r>
    </w:p>
    <w:p w:rsidR="00744DD2" w:rsidRPr="00744DD2" w:rsidRDefault="00744DD2" w:rsidP="00744DD2">
      <w:pPr>
        <w:rPr>
          <w:i/>
          <w:sz w:val="20"/>
          <w:szCs w:val="20"/>
          <w:u w:val="single"/>
        </w:rPr>
      </w:pPr>
      <w:r w:rsidRPr="00744DD2">
        <w:rPr>
          <w:i/>
          <w:sz w:val="20"/>
          <w:szCs w:val="20"/>
          <w:u w:val="single"/>
        </w:rPr>
        <w:lastRenderedPageBreak/>
        <w:t>Načini postizanja komičnog i smiješnog</w:t>
      </w:r>
    </w:p>
    <w:p w:rsidR="00744DD2" w:rsidRPr="00744DD2" w:rsidRDefault="00744DD2" w:rsidP="00744DD2">
      <w:pPr>
        <w:rPr>
          <w:b/>
          <w:sz w:val="20"/>
          <w:szCs w:val="20"/>
        </w:rPr>
      </w:pPr>
      <w:r w:rsidRPr="00744DD2">
        <w:rPr>
          <w:b/>
          <w:sz w:val="20"/>
          <w:szCs w:val="20"/>
        </w:rPr>
        <w:t>I Komika karaktera</w:t>
      </w:r>
    </w:p>
    <w:p w:rsidR="00744DD2" w:rsidRPr="00744DD2" w:rsidRDefault="00744DD2" w:rsidP="00744DD2">
      <w:pPr>
        <w:rPr>
          <w:b/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Unguentum fuerat, quod onyx modo parva gerebat:  olfecit postquam Papylus, ecce, garum </w:t>
      </w:r>
      <w:proofErr w:type="gramStart"/>
      <w:r w:rsidRPr="00744DD2">
        <w:rPr>
          <w:sz w:val="20"/>
          <w:szCs w:val="20"/>
        </w:rPr>
        <w:t>est</w:t>
      </w:r>
      <w:proofErr w:type="gramEnd"/>
      <w:r w:rsidRPr="00744DD2">
        <w:rPr>
          <w:sz w:val="20"/>
          <w:szCs w:val="20"/>
        </w:rPr>
        <w:t>.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lastRenderedPageBreak/>
        <w:t>Parfem je nedavno bio u oniksnoj bočici.</w:t>
      </w:r>
      <w:proofErr w:type="gramEnd"/>
      <w:r w:rsidRPr="00744DD2">
        <w:rPr>
          <w:sz w:val="20"/>
          <w:szCs w:val="20"/>
        </w:rPr>
        <w:t xml:space="preserve"> U nju Papil je gurnuo nos: smrdi po ribama sad!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744DD2" w:rsidRPr="00744DD2" w:rsidRDefault="00744DD2" w:rsidP="00744DD2">
      <w:pPr>
        <w:numPr>
          <w:ilvl w:val="12"/>
          <w:numId w:val="0"/>
        </w:numPr>
        <w:rPr>
          <w:b/>
          <w:sz w:val="20"/>
          <w:szCs w:val="20"/>
        </w:rPr>
      </w:pPr>
      <w:r w:rsidRPr="00744DD2">
        <w:rPr>
          <w:b/>
          <w:sz w:val="20"/>
          <w:szCs w:val="20"/>
        </w:rPr>
        <w:lastRenderedPageBreak/>
        <w:t>II Komika situacije</w:t>
      </w: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t>Ventris onus misero, nec te pudet, excipis auro</w:t>
      </w:r>
      <w:proofErr w:type="gramStart"/>
      <w:r w:rsidRPr="00744DD2">
        <w:rPr>
          <w:sz w:val="20"/>
          <w:szCs w:val="20"/>
        </w:rPr>
        <w:t>,  Basse</w:t>
      </w:r>
      <w:proofErr w:type="gramEnd"/>
      <w:r w:rsidRPr="00744DD2">
        <w:rPr>
          <w:sz w:val="20"/>
          <w:szCs w:val="20"/>
        </w:rPr>
        <w:t xml:space="preserve">, bibis vitro: carius ergo cacas. </w:t>
      </w:r>
    </w:p>
    <w:p w:rsidR="00744DD2" w:rsidRPr="00744DD2" w:rsidRDefault="00744DD2" w:rsidP="00744DD2">
      <w:pPr>
        <w:rPr>
          <w:sz w:val="20"/>
          <w:szCs w:val="20"/>
        </w:rPr>
      </w:pPr>
    </w:p>
    <w:p w:rsidR="00744DD2" w:rsidRPr="00744DD2" w:rsidRDefault="00744DD2" w:rsidP="00744DD2">
      <w:pPr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744DD2">
        <w:rPr>
          <w:sz w:val="20"/>
          <w:szCs w:val="20"/>
        </w:rPr>
        <w:t>Crijeva olakšavaš, Baso, bez stida u posudu zlatnu</w:t>
      </w:r>
      <w:proofErr w:type="gramStart"/>
      <w:r w:rsidRPr="00744DD2">
        <w:rPr>
          <w:sz w:val="20"/>
          <w:szCs w:val="20"/>
        </w:rPr>
        <w:t>,  staklenu</w:t>
      </w:r>
      <w:proofErr w:type="gramEnd"/>
      <w:r w:rsidRPr="00744DD2">
        <w:rPr>
          <w:sz w:val="20"/>
          <w:szCs w:val="20"/>
        </w:rPr>
        <w:t xml:space="preserve"> imaš za žeđ! Ulažeš više u drek! </w:t>
      </w:r>
    </w:p>
    <w:p w:rsidR="00744DD2" w:rsidRPr="00744DD2" w:rsidRDefault="00744DD2" w:rsidP="00744DD2">
      <w:pPr>
        <w:jc w:val="both"/>
        <w:rPr>
          <w:b/>
          <w:sz w:val="20"/>
          <w:szCs w:val="20"/>
        </w:rPr>
      </w:pPr>
      <w:r w:rsidRPr="00744DD2">
        <w:rPr>
          <w:b/>
          <w:sz w:val="20"/>
          <w:szCs w:val="20"/>
        </w:rPr>
        <w:lastRenderedPageBreak/>
        <w:t>III Komika riječi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Cinnam, Cinname, </w:t>
      </w:r>
      <w:proofErr w:type="gramStart"/>
      <w:r w:rsidRPr="00744DD2">
        <w:rPr>
          <w:sz w:val="20"/>
          <w:szCs w:val="20"/>
        </w:rPr>
        <w:t>te</w:t>
      </w:r>
      <w:proofErr w:type="gramEnd"/>
      <w:r w:rsidRPr="00744DD2">
        <w:rPr>
          <w:sz w:val="20"/>
          <w:szCs w:val="20"/>
        </w:rPr>
        <w:t xml:space="preserve"> iubes vocari. Non </w:t>
      </w:r>
      <w:proofErr w:type="gramStart"/>
      <w:r w:rsidRPr="00744DD2">
        <w:rPr>
          <w:sz w:val="20"/>
          <w:szCs w:val="20"/>
        </w:rPr>
        <w:t>est</w:t>
      </w:r>
      <w:proofErr w:type="gramEnd"/>
      <w:r w:rsidRPr="00744DD2">
        <w:rPr>
          <w:sz w:val="20"/>
          <w:szCs w:val="20"/>
        </w:rPr>
        <w:t xml:space="preserve"> hic, rogo, Cinna, barbarismus? 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t xml:space="preserve">Tu si Furius ante dictus esses, 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Fur ista ratione dicereris.</w:t>
      </w:r>
      <w:proofErr w:type="gramEnd"/>
      <w:r w:rsidRPr="00744DD2">
        <w:rPr>
          <w:sz w:val="20"/>
          <w:szCs w:val="20"/>
        </w:rPr>
        <w:t xml:space="preserve"> 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Tražiš, Ciname, da </w:t>
      </w:r>
      <w:proofErr w:type="gramStart"/>
      <w:r w:rsidRPr="00744DD2">
        <w:rPr>
          <w:sz w:val="20"/>
          <w:szCs w:val="20"/>
        </w:rPr>
        <w:t>te</w:t>
      </w:r>
      <w:proofErr w:type="gramEnd"/>
      <w:r w:rsidRPr="00744DD2">
        <w:rPr>
          <w:sz w:val="20"/>
          <w:szCs w:val="20"/>
        </w:rPr>
        <w:t xml:space="preserve"> »Cinom« zovu.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t>Cina, zaboga, to je barbarizam!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r w:rsidRPr="00744DD2">
        <w:rPr>
          <w:sz w:val="20"/>
          <w:szCs w:val="20"/>
        </w:rPr>
        <w:t>Po toj logici, da je tvoje ime</w:t>
      </w: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  <w:proofErr w:type="gramStart"/>
      <w:r w:rsidRPr="00744DD2">
        <w:rPr>
          <w:sz w:val="20"/>
          <w:szCs w:val="20"/>
        </w:rPr>
        <w:t>bilo</w:t>
      </w:r>
      <w:proofErr w:type="gramEnd"/>
      <w:r w:rsidRPr="00744DD2">
        <w:rPr>
          <w:sz w:val="20"/>
          <w:szCs w:val="20"/>
        </w:rPr>
        <w:t xml:space="preserve"> Tatije, sad bi »Tat« se zvao!</w:t>
      </w:r>
    </w:p>
    <w:p w:rsidR="00744DD2" w:rsidRDefault="00744DD2" w:rsidP="00744DD2">
      <w:pPr>
        <w:numPr>
          <w:ilvl w:val="12"/>
          <w:numId w:val="0"/>
        </w:numPr>
        <w:rPr>
          <w:sz w:val="20"/>
          <w:szCs w:val="20"/>
        </w:rPr>
      </w:pPr>
    </w:p>
    <w:p w:rsidR="00744DD2" w:rsidRPr="00744DD2" w:rsidRDefault="00744DD2" w:rsidP="00744DD2">
      <w:pPr>
        <w:numPr>
          <w:ilvl w:val="12"/>
          <w:numId w:val="0"/>
        </w:numPr>
        <w:rPr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lastRenderedPageBreak/>
        <w:t xml:space="preserve">Novit loturos Dasius numerare: poposcit </w:t>
      </w: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t xml:space="preserve"> Mammosam Spatalen pro tribus: illa dedit. </w:t>
      </w:r>
    </w:p>
    <w:p w:rsidR="00744DD2" w:rsidRPr="00744DD2" w:rsidRDefault="00744DD2" w:rsidP="00744DD2">
      <w:pPr>
        <w:rPr>
          <w:sz w:val="20"/>
          <w:szCs w:val="20"/>
        </w:rPr>
      </w:pPr>
      <w:r w:rsidRPr="00744DD2">
        <w:rPr>
          <w:sz w:val="20"/>
          <w:szCs w:val="20"/>
        </w:rPr>
        <w:t>Vješto Dazije broji kupače: od sisate one karte je tražio tri. Mirno je platila sve!</w:t>
      </w:r>
    </w:p>
    <w:p w:rsidR="00744DD2" w:rsidRPr="00744DD2" w:rsidRDefault="00744DD2" w:rsidP="00744DD2">
      <w:pPr>
        <w:numPr>
          <w:ilvl w:val="12"/>
          <w:numId w:val="0"/>
        </w:numPr>
        <w:rPr>
          <w:b/>
          <w:sz w:val="20"/>
          <w:szCs w:val="20"/>
        </w:rPr>
        <w:sectPr w:rsidR="00744DD2" w:rsidRPr="00744DD2" w:rsidSect="00FE3E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DD2" w:rsidRDefault="00744DD2" w:rsidP="00744DD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</w:p>
    <w:p w:rsidR="00644838" w:rsidRPr="00B442A1" w:rsidRDefault="00644838" w:rsidP="00644838">
      <w:pPr>
        <w:spacing w:line="240" w:lineRule="auto"/>
        <w:rPr>
          <w:sz w:val="28"/>
          <w:szCs w:val="28"/>
        </w:rPr>
      </w:pPr>
    </w:p>
    <w:p w:rsidR="00644838" w:rsidRPr="00B442A1" w:rsidRDefault="00644838">
      <w:pPr>
        <w:spacing w:line="240" w:lineRule="auto"/>
        <w:rPr>
          <w:sz w:val="28"/>
          <w:szCs w:val="28"/>
        </w:rPr>
      </w:pPr>
    </w:p>
    <w:sectPr w:rsidR="00644838" w:rsidRPr="00B442A1" w:rsidSect="00615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AB5"/>
    <w:multiLevelType w:val="hybridMultilevel"/>
    <w:tmpl w:val="701AF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A0F29"/>
    <w:multiLevelType w:val="hybridMultilevel"/>
    <w:tmpl w:val="B2AE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65AC"/>
    <w:multiLevelType w:val="hybridMultilevel"/>
    <w:tmpl w:val="2816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0FDA"/>
    <w:multiLevelType w:val="hybridMultilevel"/>
    <w:tmpl w:val="A6745DEC"/>
    <w:lvl w:ilvl="0" w:tplc="C2887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85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1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E7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3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4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530406"/>
    <w:multiLevelType w:val="hybridMultilevel"/>
    <w:tmpl w:val="0A6C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328F"/>
    <w:multiLevelType w:val="hybridMultilevel"/>
    <w:tmpl w:val="4F1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385A"/>
    <w:multiLevelType w:val="hybridMultilevel"/>
    <w:tmpl w:val="494A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7FF8"/>
    <w:multiLevelType w:val="hybridMultilevel"/>
    <w:tmpl w:val="2B0238B2"/>
    <w:lvl w:ilvl="0" w:tplc="5E8A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0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C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E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6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5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7C7DBA"/>
    <w:multiLevelType w:val="hybridMultilevel"/>
    <w:tmpl w:val="59D23BBA"/>
    <w:lvl w:ilvl="0" w:tplc="CF36D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63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C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CD21D8"/>
    <w:multiLevelType w:val="hybridMultilevel"/>
    <w:tmpl w:val="0BA89B40"/>
    <w:lvl w:ilvl="0" w:tplc="87EC0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E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A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2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49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0C1012"/>
    <w:multiLevelType w:val="hybridMultilevel"/>
    <w:tmpl w:val="744E4A08"/>
    <w:lvl w:ilvl="0" w:tplc="6448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1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8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9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05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DF11D5"/>
    <w:multiLevelType w:val="hybridMultilevel"/>
    <w:tmpl w:val="82FE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4C45"/>
    <w:multiLevelType w:val="hybridMultilevel"/>
    <w:tmpl w:val="90F2409C"/>
    <w:lvl w:ilvl="0" w:tplc="F772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66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4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2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2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E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D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F5053C"/>
    <w:multiLevelType w:val="hybridMultilevel"/>
    <w:tmpl w:val="15EC7A5E"/>
    <w:lvl w:ilvl="0" w:tplc="E42A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66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E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6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E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E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975FCF"/>
    <w:multiLevelType w:val="hybridMultilevel"/>
    <w:tmpl w:val="BF8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70FB4"/>
    <w:multiLevelType w:val="hybridMultilevel"/>
    <w:tmpl w:val="5950DFDA"/>
    <w:lvl w:ilvl="0" w:tplc="4A8C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C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7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A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6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6A001D"/>
    <w:multiLevelType w:val="hybridMultilevel"/>
    <w:tmpl w:val="AAFE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17364"/>
    <w:multiLevelType w:val="hybridMultilevel"/>
    <w:tmpl w:val="1BE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21243"/>
    <w:multiLevelType w:val="hybridMultilevel"/>
    <w:tmpl w:val="A7C853FC"/>
    <w:lvl w:ilvl="0" w:tplc="66B0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4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C235AF"/>
    <w:multiLevelType w:val="hybridMultilevel"/>
    <w:tmpl w:val="6682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F1FAC"/>
    <w:rsid w:val="00076C29"/>
    <w:rsid w:val="00114846"/>
    <w:rsid w:val="003E1A2B"/>
    <w:rsid w:val="004F1FAC"/>
    <w:rsid w:val="00557085"/>
    <w:rsid w:val="006151BE"/>
    <w:rsid w:val="00644838"/>
    <w:rsid w:val="006D5F0E"/>
    <w:rsid w:val="00701A3D"/>
    <w:rsid w:val="00741F7F"/>
    <w:rsid w:val="00744DD2"/>
    <w:rsid w:val="008E176F"/>
    <w:rsid w:val="00AA1157"/>
    <w:rsid w:val="00B442A1"/>
    <w:rsid w:val="00C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BE"/>
  </w:style>
  <w:style w:type="paragraph" w:styleId="Heading2">
    <w:name w:val="heading 2"/>
    <w:basedOn w:val="Normal"/>
    <w:link w:val="Heading2Char"/>
    <w:uiPriority w:val="9"/>
    <w:qFormat/>
    <w:rsid w:val="003E1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11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A2B"/>
  </w:style>
  <w:style w:type="character" w:styleId="Hyperlink">
    <w:name w:val="Hyperlink"/>
    <w:basedOn w:val="DefaultParagraphFont"/>
    <w:uiPriority w:val="99"/>
    <w:semiHidden/>
    <w:unhideWhenUsed/>
    <w:rsid w:val="003E1A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1A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AA11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AA1157"/>
  </w:style>
  <w:style w:type="character" w:styleId="Emphasis">
    <w:name w:val="Emphasis"/>
    <w:basedOn w:val="DefaultParagraphFont"/>
    <w:uiPriority w:val="20"/>
    <w:qFormat/>
    <w:rsid w:val="00AA1157"/>
    <w:rPr>
      <w:i/>
      <w:iCs/>
    </w:rPr>
  </w:style>
  <w:style w:type="character" w:styleId="Strong">
    <w:name w:val="Strong"/>
    <w:basedOn w:val="DefaultParagraphFont"/>
    <w:uiPriority w:val="22"/>
    <w:qFormat/>
    <w:rsid w:val="00AA1157"/>
    <w:rPr>
      <w:b/>
      <w:bCs/>
    </w:rPr>
  </w:style>
  <w:style w:type="character" w:customStyle="1" w:styleId="a">
    <w:name w:val="a"/>
    <w:basedOn w:val="DefaultParagraphFont"/>
    <w:rsid w:val="0074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rce.hr/2016-2017/mod/url/view.php?id=248070" TargetMode="External"/><Relationship Id="rId5" Type="http://schemas.openxmlformats.org/officeDocument/2006/relationships/hyperlink" Target="http://moodle.srce.hr/2016-2017/mod/url/view.php?id=248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2017-01-03T11:33:00Z</dcterms:created>
  <dcterms:modified xsi:type="dcterms:W3CDTF">2017-01-21T13:40:00Z</dcterms:modified>
</cp:coreProperties>
</file>